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20E5C" w14:textId="35204928" w:rsidR="00363EE6" w:rsidRPr="00C25471" w:rsidRDefault="00425D12">
      <w:pPr>
        <w:jc w:val="center"/>
        <w:rPr>
          <w:sz w:val="24"/>
          <w:szCs w:val="24"/>
        </w:rPr>
      </w:pPr>
      <w:r w:rsidRPr="00C25471">
        <w:rPr>
          <w:sz w:val="24"/>
          <w:szCs w:val="24"/>
        </w:rPr>
        <w:t>V</w:t>
      </w:r>
      <w:r w:rsidR="002F751F" w:rsidRPr="00C25471">
        <w:rPr>
          <w:sz w:val="24"/>
          <w:szCs w:val="24"/>
        </w:rPr>
        <w:t xml:space="preserve">illage of Baldwinsville </w:t>
      </w:r>
      <w:r w:rsidR="00BA039F" w:rsidRPr="00C25471">
        <w:rPr>
          <w:sz w:val="24"/>
          <w:szCs w:val="24"/>
        </w:rPr>
        <w:t>Combined Board</w:t>
      </w:r>
      <w:r w:rsidR="002F751F" w:rsidRPr="00C25471">
        <w:rPr>
          <w:sz w:val="24"/>
          <w:szCs w:val="24"/>
        </w:rPr>
        <w:t xml:space="preserve"> Meeting Minutes</w:t>
      </w:r>
    </w:p>
    <w:p w14:paraId="10BDBFDC" w14:textId="675F4E04" w:rsidR="00363EE6" w:rsidRDefault="00502FBC">
      <w:pPr>
        <w:jc w:val="center"/>
        <w:rPr>
          <w:sz w:val="24"/>
          <w:szCs w:val="24"/>
        </w:rPr>
      </w:pPr>
      <w:r w:rsidRPr="00C25471">
        <w:rPr>
          <w:sz w:val="24"/>
          <w:szCs w:val="24"/>
        </w:rPr>
        <w:t xml:space="preserve">Tuesday </w:t>
      </w:r>
      <w:r w:rsidR="00274FE8">
        <w:rPr>
          <w:sz w:val="24"/>
          <w:szCs w:val="24"/>
        </w:rPr>
        <w:t>December 17, 2024</w:t>
      </w:r>
    </w:p>
    <w:p w14:paraId="3D4D14F9" w14:textId="649E377B" w:rsidR="00277AC0" w:rsidRDefault="00277AC0">
      <w:pPr>
        <w:jc w:val="center"/>
        <w:rPr>
          <w:sz w:val="24"/>
          <w:szCs w:val="24"/>
        </w:rPr>
      </w:pPr>
      <w:r>
        <w:rPr>
          <w:sz w:val="24"/>
          <w:szCs w:val="24"/>
        </w:rPr>
        <w:t>Approved</w:t>
      </w:r>
    </w:p>
    <w:p w14:paraId="5CC1F4A9" w14:textId="4C098E2F" w:rsidR="007C2091" w:rsidRDefault="007C2091">
      <w:pPr>
        <w:jc w:val="center"/>
        <w:rPr>
          <w:sz w:val="24"/>
          <w:szCs w:val="24"/>
        </w:rPr>
      </w:pPr>
    </w:p>
    <w:p w14:paraId="5A0644C7" w14:textId="1214D200" w:rsidR="003B6E44" w:rsidRPr="00C25471" w:rsidRDefault="003B6E44" w:rsidP="003B6E44">
      <w:pPr>
        <w:jc w:val="center"/>
        <w:rPr>
          <w:sz w:val="24"/>
          <w:szCs w:val="24"/>
        </w:rPr>
      </w:pPr>
    </w:p>
    <w:p w14:paraId="66554987" w14:textId="77777777" w:rsidR="00AE3A2E" w:rsidRPr="00C25471" w:rsidRDefault="00AE3A2E">
      <w:pPr>
        <w:rPr>
          <w:sz w:val="24"/>
          <w:szCs w:val="24"/>
        </w:rPr>
      </w:pPr>
    </w:p>
    <w:p w14:paraId="5B12C3C0" w14:textId="70F2A8F1" w:rsidR="00363EE6" w:rsidRPr="00C25471" w:rsidRDefault="002F751F">
      <w:pPr>
        <w:rPr>
          <w:sz w:val="24"/>
          <w:szCs w:val="24"/>
        </w:rPr>
      </w:pPr>
      <w:r w:rsidRPr="00C25471">
        <w:rPr>
          <w:sz w:val="24"/>
          <w:szCs w:val="24"/>
        </w:rPr>
        <w:t>PRESENT:</w:t>
      </w:r>
    </w:p>
    <w:p w14:paraId="79EC8BDE" w14:textId="77777777" w:rsidR="00363EE6" w:rsidRPr="00C25471" w:rsidRDefault="002F751F">
      <w:pPr>
        <w:rPr>
          <w:sz w:val="24"/>
          <w:szCs w:val="24"/>
        </w:rPr>
      </w:pPr>
      <w:r w:rsidRPr="00C25471">
        <w:rPr>
          <w:sz w:val="24"/>
          <w:szCs w:val="24"/>
        </w:rPr>
        <w:t>Terrie King - Chairperson</w:t>
      </w:r>
    </w:p>
    <w:p w14:paraId="317BF4EE" w14:textId="13FACEDF" w:rsidR="00363EE6" w:rsidRPr="00C25471" w:rsidRDefault="002F751F">
      <w:pPr>
        <w:rPr>
          <w:sz w:val="24"/>
          <w:szCs w:val="24"/>
        </w:rPr>
      </w:pPr>
      <w:r w:rsidRPr="00C25471">
        <w:rPr>
          <w:sz w:val="24"/>
          <w:szCs w:val="24"/>
        </w:rPr>
        <w:t xml:space="preserve">Chris Greer </w:t>
      </w:r>
      <w:bookmarkStart w:id="0" w:name="_Hlk167561598"/>
    </w:p>
    <w:p w14:paraId="0A4AB721" w14:textId="45E3BFCF" w:rsidR="00A14B7E" w:rsidRDefault="00A14B7E">
      <w:pPr>
        <w:rPr>
          <w:sz w:val="24"/>
          <w:szCs w:val="24"/>
        </w:rPr>
      </w:pPr>
      <w:r w:rsidRPr="00C25471">
        <w:rPr>
          <w:sz w:val="24"/>
          <w:szCs w:val="24"/>
        </w:rPr>
        <w:t>Sandy Rabe</w:t>
      </w:r>
    </w:p>
    <w:p w14:paraId="30355FF6" w14:textId="5F7D2366" w:rsidR="00C25471" w:rsidRDefault="00C25471">
      <w:pPr>
        <w:rPr>
          <w:sz w:val="24"/>
          <w:szCs w:val="24"/>
        </w:rPr>
      </w:pPr>
      <w:r>
        <w:rPr>
          <w:sz w:val="24"/>
          <w:szCs w:val="24"/>
        </w:rPr>
        <w:t>Johanna Bock</w:t>
      </w:r>
    </w:p>
    <w:p w14:paraId="116CD959" w14:textId="2687F64C" w:rsidR="00C516EA" w:rsidRPr="00C25471" w:rsidRDefault="00274FE8">
      <w:pPr>
        <w:rPr>
          <w:sz w:val="24"/>
          <w:szCs w:val="24"/>
        </w:rPr>
      </w:pPr>
      <w:r>
        <w:rPr>
          <w:sz w:val="24"/>
          <w:szCs w:val="24"/>
        </w:rPr>
        <w:t>Andrew Knowlden</w:t>
      </w:r>
    </w:p>
    <w:bookmarkEnd w:id="0"/>
    <w:p w14:paraId="136A76A4" w14:textId="77777777" w:rsidR="00363EE6" w:rsidRPr="00C25471" w:rsidRDefault="002F751F">
      <w:pPr>
        <w:rPr>
          <w:sz w:val="24"/>
          <w:szCs w:val="24"/>
        </w:rPr>
      </w:pPr>
      <w:r w:rsidRPr="00C25471">
        <w:rPr>
          <w:sz w:val="24"/>
          <w:szCs w:val="24"/>
        </w:rPr>
        <w:t>Jamie Sutphen, Village Attorney</w:t>
      </w:r>
    </w:p>
    <w:p w14:paraId="329CA4C5" w14:textId="621B3D26" w:rsidR="00A14B7E" w:rsidRDefault="00A14B7E">
      <w:pPr>
        <w:rPr>
          <w:sz w:val="24"/>
          <w:szCs w:val="24"/>
        </w:rPr>
      </w:pPr>
      <w:r w:rsidRPr="00C25471">
        <w:rPr>
          <w:sz w:val="24"/>
          <w:szCs w:val="24"/>
        </w:rPr>
        <w:t>Greg Sgromo, Village Engineer</w:t>
      </w:r>
    </w:p>
    <w:p w14:paraId="59DB797F" w14:textId="753DE7A1" w:rsidR="009638BB" w:rsidRDefault="00B16269">
      <w:pPr>
        <w:rPr>
          <w:sz w:val="24"/>
          <w:szCs w:val="24"/>
        </w:rPr>
      </w:pPr>
      <w:r>
        <w:rPr>
          <w:sz w:val="24"/>
          <w:szCs w:val="24"/>
        </w:rPr>
        <w:t>John O’Brien, Bronze Foundry Loft</w:t>
      </w:r>
    </w:p>
    <w:p w14:paraId="11A3B86B" w14:textId="79E505F0" w:rsidR="00B16269" w:rsidRPr="00C25471" w:rsidRDefault="00B16269">
      <w:pPr>
        <w:rPr>
          <w:sz w:val="24"/>
          <w:szCs w:val="24"/>
        </w:rPr>
      </w:pPr>
      <w:r>
        <w:rPr>
          <w:sz w:val="24"/>
          <w:szCs w:val="24"/>
        </w:rPr>
        <w:t>Charlie Breuer, Hueber Breuer Construction Co., Inc</w:t>
      </w:r>
    </w:p>
    <w:p w14:paraId="330BD442" w14:textId="2BFF9399" w:rsidR="00A14B7E" w:rsidRDefault="00A14B7E">
      <w:pPr>
        <w:rPr>
          <w:sz w:val="24"/>
          <w:szCs w:val="24"/>
        </w:rPr>
      </w:pPr>
      <w:r w:rsidRPr="00C25471">
        <w:rPr>
          <w:sz w:val="24"/>
          <w:szCs w:val="24"/>
        </w:rPr>
        <w:t>Steve Breitzka,</w:t>
      </w:r>
      <w:r w:rsidR="00566BF8" w:rsidRPr="00C25471">
        <w:rPr>
          <w:sz w:val="24"/>
          <w:szCs w:val="24"/>
        </w:rPr>
        <w:t xml:space="preserve"> Design &amp; Research</w:t>
      </w:r>
    </w:p>
    <w:p w14:paraId="4751E36B" w14:textId="3C8277C8" w:rsidR="007D3E46" w:rsidRDefault="007D3E46">
      <w:pPr>
        <w:rPr>
          <w:sz w:val="24"/>
          <w:szCs w:val="24"/>
        </w:rPr>
      </w:pPr>
      <w:r>
        <w:rPr>
          <w:sz w:val="24"/>
          <w:szCs w:val="24"/>
        </w:rPr>
        <w:t>Dan Coholan, Bronze Foundry Loft</w:t>
      </w:r>
    </w:p>
    <w:p w14:paraId="2BEBE3F6" w14:textId="213B6084" w:rsidR="00C25471" w:rsidRDefault="000F0235">
      <w:pPr>
        <w:rPr>
          <w:sz w:val="24"/>
          <w:szCs w:val="24"/>
        </w:rPr>
      </w:pPr>
      <w:r>
        <w:rPr>
          <w:sz w:val="24"/>
          <w:szCs w:val="24"/>
        </w:rPr>
        <w:t>Brody Smith, Bond, Schoeneck &amp; King</w:t>
      </w:r>
    </w:p>
    <w:p w14:paraId="79FFC2B5" w14:textId="53DFEC67" w:rsidR="00566BF8" w:rsidRPr="00C25471" w:rsidRDefault="00566BF8" w:rsidP="00566BF8">
      <w:pPr>
        <w:rPr>
          <w:sz w:val="24"/>
          <w:szCs w:val="24"/>
        </w:rPr>
      </w:pPr>
      <w:r w:rsidRPr="00C25471">
        <w:rPr>
          <w:sz w:val="24"/>
          <w:szCs w:val="24"/>
        </w:rPr>
        <w:t xml:space="preserve">Ben Harrell, </w:t>
      </w:r>
      <w:bookmarkStart w:id="1" w:name="_Hlk182319949"/>
      <w:r w:rsidRPr="00C25471">
        <w:rPr>
          <w:sz w:val="24"/>
          <w:szCs w:val="24"/>
        </w:rPr>
        <w:t>Project Engineer</w:t>
      </w:r>
      <w:r w:rsidR="00F06733" w:rsidRPr="00C25471">
        <w:rPr>
          <w:sz w:val="24"/>
          <w:szCs w:val="24"/>
        </w:rPr>
        <w:t>, CHA Consulting</w:t>
      </w:r>
      <w:bookmarkEnd w:id="1"/>
    </w:p>
    <w:p w14:paraId="75402197" w14:textId="45A73A71" w:rsidR="005D6576" w:rsidRPr="00C25471" w:rsidRDefault="00502FBC">
      <w:pPr>
        <w:rPr>
          <w:sz w:val="24"/>
          <w:szCs w:val="24"/>
        </w:rPr>
      </w:pPr>
      <w:r w:rsidRPr="00C25471">
        <w:rPr>
          <w:sz w:val="24"/>
          <w:szCs w:val="24"/>
        </w:rPr>
        <w:t>Michelle Hamilton, Planning Board Secretary</w:t>
      </w:r>
    </w:p>
    <w:p w14:paraId="519A0824" w14:textId="77777777" w:rsidR="00317EDF" w:rsidRPr="00C25471" w:rsidRDefault="00317EDF">
      <w:pPr>
        <w:rPr>
          <w:sz w:val="24"/>
          <w:szCs w:val="24"/>
        </w:rPr>
      </w:pPr>
    </w:p>
    <w:p w14:paraId="7B9EB777" w14:textId="4806BBEE" w:rsidR="00363EE6" w:rsidRPr="00C25471" w:rsidRDefault="002F751F">
      <w:pPr>
        <w:rPr>
          <w:iCs/>
          <w:sz w:val="24"/>
          <w:szCs w:val="24"/>
        </w:rPr>
      </w:pPr>
      <w:r w:rsidRPr="00C25471">
        <w:rPr>
          <w:iCs/>
          <w:sz w:val="24"/>
          <w:szCs w:val="24"/>
        </w:rPr>
        <w:t>Chairperson</w:t>
      </w:r>
      <w:r w:rsidR="005D6576" w:rsidRPr="00C25471">
        <w:rPr>
          <w:iCs/>
          <w:sz w:val="24"/>
          <w:szCs w:val="24"/>
        </w:rPr>
        <w:t xml:space="preserve"> Terrie</w:t>
      </w:r>
      <w:r w:rsidRPr="00C25471">
        <w:rPr>
          <w:iCs/>
          <w:sz w:val="24"/>
          <w:szCs w:val="24"/>
        </w:rPr>
        <w:t xml:space="preserve"> King</w:t>
      </w:r>
      <w:r w:rsidR="00344009" w:rsidRPr="00C25471">
        <w:rPr>
          <w:iCs/>
          <w:sz w:val="24"/>
          <w:szCs w:val="24"/>
        </w:rPr>
        <w:t xml:space="preserve"> called </w:t>
      </w:r>
      <w:r w:rsidR="00493AB9" w:rsidRPr="00C25471">
        <w:rPr>
          <w:iCs/>
          <w:sz w:val="24"/>
          <w:szCs w:val="24"/>
        </w:rPr>
        <w:t>a meeting</w:t>
      </w:r>
      <w:r w:rsidR="00344009" w:rsidRPr="00C25471">
        <w:rPr>
          <w:iCs/>
          <w:sz w:val="24"/>
          <w:szCs w:val="24"/>
        </w:rPr>
        <w:t xml:space="preserve"> to order at 7:00 PM and</w:t>
      </w:r>
      <w:r w:rsidR="00317EDF" w:rsidRPr="00C25471">
        <w:rPr>
          <w:iCs/>
          <w:sz w:val="24"/>
          <w:szCs w:val="24"/>
        </w:rPr>
        <w:t xml:space="preserve"> led The Pledge of Allegiance</w:t>
      </w:r>
      <w:r w:rsidR="00344009" w:rsidRPr="00C25471">
        <w:rPr>
          <w:iCs/>
          <w:sz w:val="24"/>
          <w:szCs w:val="24"/>
        </w:rPr>
        <w:t>.</w:t>
      </w:r>
    </w:p>
    <w:p w14:paraId="56440A14" w14:textId="77777777" w:rsidR="00066FAA" w:rsidRPr="00C25471" w:rsidRDefault="00066FAA">
      <w:pPr>
        <w:rPr>
          <w:iCs/>
          <w:sz w:val="24"/>
          <w:szCs w:val="24"/>
        </w:rPr>
      </w:pPr>
    </w:p>
    <w:p w14:paraId="46455C51" w14:textId="58F0FE13" w:rsidR="00066FAA" w:rsidRPr="00C25471" w:rsidRDefault="00066FAA" w:rsidP="00066FAA">
      <w:pPr>
        <w:rPr>
          <w:iCs/>
          <w:sz w:val="24"/>
          <w:szCs w:val="24"/>
        </w:rPr>
      </w:pPr>
      <w:bookmarkStart w:id="2" w:name="_Hlk178172876"/>
      <w:r w:rsidRPr="00C25471">
        <w:rPr>
          <w:iCs/>
          <w:sz w:val="24"/>
          <w:szCs w:val="24"/>
        </w:rPr>
        <w:t xml:space="preserve">Motion made to approve Planning Board Meeting Minutes </w:t>
      </w:r>
      <w:r w:rsidR="000C5221" w:rsidRPr="00C25471">
        <w:rPr>
          <w:iCs/>
          <w:sz w:val="24"/>
          <w:szCs w:val="24"/>
        </w:rPr>
        <w:t>of</w:t>
      </w:r>
      <w:r w:rsidR="00B16269">
        <w:rPr>
          <w:iCs/>
          <w:sz w:val="24"/>
          <w:szCs w:val="24"/>
        </w:rPr>
        <w:t xml:space="preserve"> November 19</w:t>
      </w:r>
      <w:r w:rsidR="000F0235">
        <w:rPr>
          <w:iCs/>
          <w:sz w:val="24"/>
          <w:szCs w:val="24"/>
        </w:rPr>
        <w:t>,</w:t>
      </w:r>
      <w:r w:rsidRPr="00C25471">
        <w:rPr>
          <w:iCs/>
          <w:sz w:val="24"/>
          <w:szCs w:val="24"/>
        </w:rPr>
        <w:t xml:space="preserve"> 2024, by</w:t>
      </w:r>
      <w:r w:rsidR="00FA247A">
        <w:rPr>
          <w:iCs/>
          <w:sz w:val="24"/>
          <w:szCs w:val="24"/>
        </w:rPr>
        <w:t xml:space="preserve"> </w:t>
      </w:r>
      <w:r w:rsidR="00B16269">
        <w:rPr>
          <w:iCs/>
          <w:sz w:val="24"/>
          <w:szCs w:val="24"/>
        </w:rPr>
        <w:t>Sandy Rabe</w:t>
      </w:r>
      <w:r w:rsidRPr="00C25471">
        <w:rPr>
          <w:iCs/>
          <w:sz w:val="24"/>
          <w:szCs w:val="24"/>
        </w:rPr>
        <w:t xml:space="preserve"> and seconded by</w:t>
      </w:r>
      <w:r w:rsidR="00FA247A">
        <w:rPr>
          <w:iCs/>
          <w:sz w:val="24"/>
          <w:szCs w:val="24"/>
        </w:rPr>
        <w:t xml:space="preserve"> </w:t>
      </w:r>
      <w:r w:rsidR="00B16269">
        <w:rPr>
          <w:iCs/>
          <w:sz w:val="24"/>
          <w:szCs w:val="24"/>
        </w:rPr>
        <w:t>Johanna Bock</w:t>
      </w:r>
      <w:r w:rsidRPr="00C25471">
        <w:rPr>
          <w:iCs/>
          <w:sz w:val="24"/>
          <w:szCs w:val="24"/>
        </w:rPr>
        <w:t>. Motion carried.</w:t>
      </w:r>
      <w:r w:rsidR="00566BF8" w:rsidRPr="00C25471">
        <w:rPr>
          <w:iCs/>
          <w:sz w:val="24"/>
          <w:szCs w:val="24"/>
        </w:rPr>
        <w:t xml:space="preserve"> Unanimously </w:t>
      </w:r>
      <w:r w:rsidR="00DF1221" w:rsidRPr="00C25471">
        <w:rPr>
          <w:iCs/>
          <w:sz w:val="24"/>
          <w:szCs w:val="24"/>
        </w:rPr>
        <w:t>approved.</w:t>
      </w:r>
    </w:p>
    <w:p w14:paraId="1756A5A5" w14:textId="77777777" w:rsidR="00AE3A2E" w:rsidRPr="000C5221" w:rsidRDefault="00AE3A2E" w:rsidP="00066FAA">
      <w:pPr>
        <w:rPr>
          <w:b/>
          <w:iCs/>
          <w:sz w:val="24"/>
          <w:szCs w:val="24"/>
        </w:rPr>
      </w:pPr>
    </w:p>
    <w:bookmarkEnd w:id="2"/>
    <w:p w14:paraId="6F21775C" w14:textId="3086F8E5" w:rsidR="000C5221" w:rsidRDefault="00D825E0" w:rsidP="000C5221">
      <w:pPr>
        <w:widowControl/>
        <w:autoSpaceDE/>
        <w:autoSpaceDN/>
        <w:adjustRightInd/>
        <w:rPr>
          <w:b/>
          <w:iCs/>
          <w:spacing w:val="2"/>
          <w:sz w:val="24"/>
          <w:szCs w:val="24"/>
        </w:rPr>
      </w:pPr>
      <w:r>
        <w:rPr>
          <w:b/>
          <w:iCs/>
          <w:spacing w:val="2"/>
          <w:sz w:val="24"/>
          <w:szCs w:val="24"/>
        </w:rPr>
        <w:t xml:space="preserve">Old Business: Fobes Island – Ben Harrell </w:t>
      </w:r>
    </w:p>
    <w:p w14:paraId="69668007" w14:textId="77777777" w:rsidR="00D825E0" w:rsidRDefault="00D825E0" w:rsidP="000C5221">
      <w:pPr>
        <w:widowControl/>
        <w:autoSpaceDE/>
        <w:autoSpaceDN/>
        <w:adjustRightInd/>
        <w:rPr>
          <w:b/>
          <w:iCs/>
          <w:spacing w:val="2"/>
          <w:sz w:val="24"/>
          <w:szCs w:val="24"/>
        </w:rPr>
      </w:pPr>
    </w:p>
    <w:p w14:paraId="6F96B4A1" w14:textId="426FF244" w:rsidR="00D825E0" w:rsidRDefault="00D825E0" w:rsidP="000C5221">
      <w:pPr>
        <w:widowControl/>
        <w:autoSpaceDE/>
        <w:autoSpaceDN/>
        <w:adjustRightInd/>
        <w:rPr>
          <w:bCs/>
          <w:iCs/>
          <w:spacing w:val="2"/>
          <w:sz w:val="24"/>
          <w:szCs w:val="24"/>
        </w:rPr>
      </w:pPr>
      <w:r w:rsidRPr="00D825E0">
        <w:rPr>
          <w:bCs/>
          <w:iCs/>
          <w:spacing w:val="2"/>
          <w:sz w:val="24"/>
          <w:szCs w:val="24"/>
        </w:rPr>
        <w:t>No changes</w:t>
      </w:r>
      <w:r w:rsidR="00943BAE">
        <w:rPr>
          <w:bCs/>
          <w:iCs/>
          <w:spacing w:val="2"/>
          <w:sz w:val="24"/>
          <w:szCs w:val="24"/>
        </w:rPr>
        <w:t xml:space="preserve"> reported since the last meeting.  The submission of necessary paperwork, addressing previous questions, minor</w:t>
      </w:r>
      <w:r>
        <w:rPr>
          <w:b/>
          <w:iCs/>
          <w:spacing w:val="2"/>
          <w:sz w:val="24"/>
          <w:szCs w:val="24"/>
        </w:rPr>
        <w:t xml:space="preserve"> </w:t>
      </w:r>
      <w:r w:rsidR="009F522C" w:rsidRPr="009F522C">
        <w:rPr>
          <w:bCs/>
          <w:iCs/>
          <w:spacing w:val="2"/>
          <w:sz w:val="24"/>
          <w:szCs w:val="24"/>
        </w:rPr>
        <w:t>engineering comments, and the need for</w:t>
      </w:r>
      <w:r w:rsidR="009F522C">
        <w:rPr>
          <w:bCs/>
          <w:iCs/>
          <w:spacing w:val="2"/>
          <w:sz w:val="24"/>
          <w:szCs w:val="24"/>
        </w:rPr>
        <w:t xml:space="preserve"> utility relocations.  The Planning Board considers referring the project to the village board for modifications, contingent on resolving engineering concerns.  </w:t>
      </w:r>
    </w:p>
    <w:p w14:paraId="3AD35272" w14:textId="77777777" w:rsidR="009F522C" w:rsidRDefault="009F522C" w:rsidP="000C5221">
      <w:pPr>
        <w:widowControl/>
        <w:autoSpaceDE/>
        <w:autoSpaceDN/>
        <w:adjustRightInd/>
        <w:rPr>
          <w:bCs/>
          <w:iCs/>
          <w:spacing w:val="2"/>
          <w:sz w:val="24"/>
          <w:szCs w:val="24"/>
        </w:rPr>
      </w:pPr>
    </w:p>
    <w:p w14:paraId="471C8D56" w14:textId="41AE07B6" w:rsidR="009F522C" w:rsidRDefault="009F522C" w:rsidP="000C5221">
      <w:pPr>
        <w:widowControl/>
        <w:autoSpaceDE/>
        <w:autoSpaceDN/>
        <w:adjustRightInd/>
        <w:rPr>
          <w:b/>
          <w:iCs/>
          <w:spacing w:val="2"/>
          <w:sz w:val="24"/>
          <w:szCs w:val="24"/>
        </w:rPr>
      </w:pPr>
      <w:r>
        <w:rPr>
          <w:bCs/>
          <w:iCs/>
          <w:spacing w:val="2"/>
          <w:sz w:val="24"/>
          <w:szCs w:val="24"/>
        </w:rPr>
        <w:t>Motion made to recommend the project to the Village Board for modifications of the PDD in accordance with the plans and submission with the condition of satisfactory finalized of the engineering concerns by Chris Greer and seconded by Sandy Rabe.  Motion carried. Unanimously approved.</w:t>
      </w:r>
    </w:p>
    <w:p w14:paraId="47122CDF" w14:textId="77777777" w:rsidR="00D825E0" w:rsidRDefault="00D825E0" w:rsidP="000C5221">
      <w:pPr>
        <w:widowControl/>
        <w:autoSpaceDE/>
        <w:autoSpaceDN/>
        <w:adjustRightInd/>
        <w:rPr>
          <w:b/>
          <w:iCs/>
          <w:spacing w:val="2"/>
          <w:sz w:val="24"/>
          <w:szCs w:val="24"/>
        </w:rPr>
      </w:pPr>
    </w:p>
    <w:p w14:paraId="27A23A83" w14:textId="71E10FAB" w:rsidR="00FF7FE5" w:rsidRDefault="00FF7FE5" w:rsidP="000C5221">
      <w:pPr>
        <w:widowControl/>
        <w:autoSpaceDE/>
        <w:autoSpaceDN/>
        <w:adjustRightInd/>
        <w:rPr>
          <w:b/>
          <w:iCs/>
          <w:spacing w:val="2"/>
          <w:sz w:val="24"/>
          <w:szCs w:val="24"/>
        </w:rPr>
      </w:pPr>
      <w:r>
        <w:rPr>
          <w:b/>
          <w:iCs/>
          <w:spacing w:val="2"/>
          <w:sz w:val="24"/>
          <w:szCs w:val="24"/>
        </w:rPr>
        <w:t>Bronze Foundry Lofts</w:t>
      </w:r>
    </w:p>
    <w:p w14:paraId="01A163CB" w14:textId="77777777" w:rsidR="00D04A00" w:rsidRDefault="00D04A00" w:rsidP="000C5221">
      <w:pPr>
        <w:widowControl/>
        <w:autoSpaceDE/>
        <w:autoSpaceDN/>
        <w:adjustRightInd/>
        <w:rPr>
          <w:b/>
          <w:iCs/>
          <w:spacing w:val="2"/>
          <w:sz w:val="24"/>
          <w:szCs w:val="24"/>
        </w:rPr>
      </w:pPr>
    </w:p>
    <w:p w14:paraId="48D1BE96"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RESOLUTION OF THE VILLAGE OF BALDWINSVILLE PLANNING BOARD</w:t>
      </w:r>
    </w:p>
    <w:p w14:paraId="7493D37B" w14:textId="77777777" w:rsidR="00D04A00" w:rsidRPr="00D04A00" w:rsidRDefault="00D04A00" w:rsidP="00D04A00">
      <w:pPr>
        <w:widowControl/>
        <w:autoSpaceDE/>
        <w:autoSpaceDN/>
        <w:adjustRightInd/>
        <w:rPr>
          <w:bCs/>
          <w:iCs/>
          <w:spacing w:val="2"/>
          <w:sz w:val="24"/>
          <w:szCs w:val="24"/>
        </w:rPr>
      </w:pPr>
    </w:p>
    <w:p w14:paraId="7C3EAD5A" w14:textId="647B986F" w:rsidR="00D04A00" w:rsidRPr="00D04A00" w:rsidRDefault="00D04A00" w:rsidP="00D04A00">
      <w:pPr>
        <w:widowControl/>
        <w:autoSpaceDE/>
        <w:autoSpaceDN/>
        <w:adjustRightInd/>
        <w:rPr>
          <w:bCs/>
          <w:iCs/>
          <w:spacing w:val="2"/>
          <w:sz w:val="24"/>
          <w:szCs w:val="24"/>
        </w:rPr>
      </w:pPr>
      <w:r w:rsidRPr="00D04A00">
        <w:rPr>
          <w:bCs/>
          <w:iCs/>
          <w:spacing w:val="2"/>
          <w:sz w:val="24"/>
          <w:szCs w:val="24"/>
        </w:rPr>
        <w:t>December 19, 2024</w:t>
      </w:r>
    </w:p>
    <w:p w14:paraId="0B8D4771" w14:textId="77777777" w:rsidR="00D04A00" w:rsidRPr="00D04A00" w:rsidRDefault="00D04A00" w:rsidP="00D04A00">
      <w:pPr>
        <w:widowControl/>
        <w:autoSpaceDE/>
        <w:autoSpaceDN/>
        <w:adjustRightInd/>
        <w:rPr>
          <w:bCs/>
          <w:iCs/>
          <w:spacing w:val="2"/>
          <w:sz w:val="24"/>
          <w:szCs w:val="24"/>
        </w:rPr>
      </w:pPr>
    </w:p>
    <w:p w14:paraId="45FA6356"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lastRenderedPageBreak/>
        <w:t>WHEREAS, AC HAMMER, LLC ("Applicant") has submitted an application (the "Application") to the Village of Baldwinsville Planning Board (the "Board") in</w:t>
      </w:r>
      <w:r w:rsidRPr="00D04A00">
        <w:rPr>
          <w:b/>
          <w:iCs/>
          <w:spacing w:val="2"/>
          <w:sz w:val="24"/>
          <w:szCs w:val="24"/>
        </w:rPr>
        <w:t xml:space="preserve"> connection </w:t>
      </w:r>
      <w:r w:rsidRPr="00D04A00">
        <w:rPr>
          <w:bCs/>
          <w:iCs/>
          <w:spacing w:val="2"/>
          <w:sz w:val="24"/>
          <w:szCs w:val="24"/>
        </w:rPr>
        <w:t>with a proposed zone change from Industrial, Commercial, and Residential (R-1) to a Planned Development District for 15.20 acres of real property within the Village of Baldwinsville (the "Village") roughly bounded by Curtis Avenue to the north and east, Salina Street (NYS Route 370) to the south, a CSX railway to the west, and East Genesee Street (NYS Route 31) to the north (the "Premises") in furtherance of a proposed project to redevelop the Premises with seven (7) three-story apartment structures, a clubhouse, surface parking, limited garage parking, associated outdoor spaces, and two-way access roads (the "Project"); and</w:t>
      </w:r>
    </w:p>
    <w:p w14:paraId="31C1B74E" w14:textId="77777777" w:rsidR="00D04A00" w:rsidRPr="00D04A00" w:rsidRDefault="00D04A00" w:rsidP="00D04A00">
      <w:pPr>
        <w:widowControl/>
        <w:autoSpaceDE/>
        <w:autoSpaceDN/>
        <w:adjustRightInd/>
        <w:rPr>
          <w:bCs/>
          <w:iCs/>
          <w:spacing w:val="2"/>
          <w:sz w:val="24"/>
          <w:szCs w:val="24"/>
        </w:rPr>
      </w:pPr>
    </w:p>
    <w:p w14:paraId="6FA1F5BD"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the Project will involve disturbance of 14.6 acres over four (4) phases, with the first </w:t>
      </w:r>
      <w:proofErr w:type="gramStart"/>
      <w:r w:rsidRPr="00D04A00">
        <w:rPr>
          <w:bCs/>
          <w:iCs/>
          <w:spacing w:val="2"/>
          <w:sz w:val="24"/>
          <w:szCs w:val="24"/>
        </w:rPr>
        <w:t>phase</w:t>
      </w:r>
      <w:proofErr w:type="gramEnd"/>
      <w:r w:rsidRPr="00D04A00">
        <w:rPr>
          <w:bCs/>
          <w:iCs/>
          <w:spacing w:val="2"/>
          <w:sz w:val="24"/>
          <w:szCs w:val="24"/>
        </w:rPr>
        <w:t xml:space="preserve"> to include construction of 255 units of multifamily housing with 435 parking spaces, and subsequent phases to include construction of commercial and mixed-use development blocks on Salina Street; and</w:t>
      </w:r>
    </w:p>
    <w:p w14:paraId="335D3BA9" w14:textId="77777777" w:rsidR="00D04A00" w:rsidRPr="00D04A00" w:rsidRDefault="00D04A00" w:rsidP="00D04A00">
      <w:pPr>
        <w:widowControl/>
        <w:autoSpaceDE/>
        <w:autoSpaceDN/>
        <w:adjustRightInd/>
        <w:rPr>
          <w:bCs/>
          <w:iCs/>
          <w:spacing w:val="2"/>
          <w:sz w:val="24"/>
          <w:szCs w:val="24"/>
        </w:rPr>
      </w:pPr>
    </w:p>
    <w:p w14:paraId="1AC6A0BB"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the Project will require permits and/or approvals from several agencies, including the Board, the Village of Baldwinsville Board of Trustees, the New York State Department of Environmental Conservation ("NYSDEC"), New York State Department of Transportation ("NYSDOT"), and United States Army Corps of Engineers ("USAGE"); and</w:t>
      </w:r>
    </w:p>
    <w:p w14:paraId="5110F3B5" w14:textId="77777777" w:rsidR="00D04A00" w:rsidRPr="00D04A00" w:rsidRDefault="00D04A00" w:rsidP="00D04A00">
      <w:pPr>
        <w:widowControl/>
        <w:autoSpaceDE/>
        <w:autoSpaceDN/>
        <w:adjustRightInd/>
        <w:rPr>
          <w:bCs/>
          <w:iCs/>
          <w:spacing w:val="2"/>
          <w:sz w:val="24"/>
          <w:szCs w:val="24"/>
        </w:rPr>
      </w:pPr>
    </w:p>
    <w:p w14:paraId="1262556D"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the Project is an action (the "Action") subject to review under the State Environmental Quality Review Act ("SEQRA") set </w:t>
      </w:r>
      <w:proofErr w:type="gramStart"/>
      <w:r w:rsidRPr="00D04A00">
        <w:rPr>
          <w:bCs/>
          <w:iCs/>
          <w:spacing w:val="2"/>
          <w:sz w:val="24"/>
          <w:szCs w:val="24"/>
        </w:rPr>
        <w:t>forth at</w:t>
      </w:r>
      <w:proofErr w:type="gramEnd"/>
      <w:r w:rsidRPr="00D04A00">
        <w:rPr>
          <w:bCs/>
          <w:iCs/>
          <w:spacing w:val="2"/>
          <w:sz w:val="24"/>
          <w:szCs w:val="24"/>
        </w:rPr>
        <w:t xml:space="preserve"> Article 8 of the New York State Environmental Conservation Law and its implementing regulations set forth at 6 NYCRR Part 617 (the "Regulations"); and</w:t>
      </w:r>
    </w:p>
    <w:p w14:paraId="6173F4F0" w14:textId="77777777" w:rsidR="00D04A00" w:rsidRPr="00D04A00" w:rsidRDefault="00D04A00" w:rsidP="00D04A00">
      <w:pPr>
        <w:widowControl/>
        <w:autoSpaceDE/>
        <w:autoSpaceDN/>
        <w:adjustRightInd/>
        <w:rPr>
          <w:bCs/>
          <w:iCs/>
          <w:spacing w:val="2"/>
          <w:sz w:val="24"/>
          <w:szCs w:val="24"/>
        </w:rPr>
      </w:pPr>
    </w:p>
    <w:p w14:paraId="388879D3"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the Board classified the Action as a Type 1 Action under SEQRA and declared its intention to serve as "Lead Agency" for the purpose of conducting a coordinated environmental review of the Action pursuant to SEQRA; and</w:t>
      </w:r>
    </w:p>
    <w:p w14:paraId="66B656F0" w14:textId="77777777" w:rsidR="00D04A00" w:rsidRPr="00D04A00" w:rsidRDefault="00D04A00" w:rsidP="00D04A00">
      <w:pPr>
        <w:widowControl/>
        <w:autoSpaceDE/>
        <w:autoSpaceDN/>
        <w:adjustRightInd/>
        <w:rPr>
          <w:bCs/>
          <w:iCs/>
          <w:spacing w:val="2"/>
          <w:sz w:val="24"/>
          <w:szCs w:val="24"/>
        </w:rPr>
      </w:pPr>
    </w:p>
    <w:p w14:paraId="7C32135E"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the Board distributed notice of its intent to act as Lead Agency (the "Notice of Intent") along with materials related to the Action to all identified involved and interested agencies; and</w:t>
      </w:r>
    </w:p>
    <w:p w14:paraId="281E09B7" w14:textId="77777777" w:rsidR="00D04A00" w:rsidRPr="00D04A00" w:rsidRDefault="00D04A00" w:rsidP="00D04A00">
      <w:pPr>
        <w:widowControl/>
        <w:autoSpaceDE/>
        <w:autoSpaceDN/>
        <w:adjustRightInd/>
        <w:rPr>
          <w:bCs/>
          <w:iCs/>
          <w:spacing w:val="2"/>
          <w:sz w:val="24"/>
          <w:szCs w:val="24"/>
        </w:rPr>
      </w:pPr>
    </w:p>
    <w:p w14:paraId="23678208"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the Notice of Intent instructed all recipients to direct any comments or questions concerning the Action to the Board; and</w:t>
      </w:r>
    </w:p>
    <w:p w14:paraId="54F42A7F" w14:textId="77777777" w:rsidR="00D04A00" w:rsidRPr="00D04A00" w:rsidRDefault="00D04A00" w:rsidP="00D04A00">
      <w:pPr>
        <w:widowControl/>
        <w:autoSpaceDE/>
        <w:autoSpaceDN/>
        <w:adjustRightInd/>
        <w:rPr>
          <w:bCs/>
          <w:iCs/>
          <w:spacing w:val="2"/>
          <w:sz w:val="24"/>
          <w:szCs w:val="24"/>
        </w:rPr>
      </w:pPr>
    </w:p>
    <w:p w14:paraId="360F2FD1"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none of the </w:t>
      </w:r>
      <w:proofErr w:type="gramStart"/>
      <w:r w:rsidRPr="00D04A00">
        <w:rPr>
          <w:bCs/>
          <w:iCs/>
          <w:spacing w:val="2"/>
          <w:sz w:val="24"/>
          <w:szCs w:val="24"/>
        </w:rPr>
        <w:t>involved agencies</w:t>
      </w:r>
      <w:proofErr w:type="gramEnd"/>
      <w:r w:rsidRPr="00D04A00">
        <w:rPr>
          <w:bCs/>
          <w:iCs/>
          <w:spacing w:val="2"/>
          <w:sz w:val="24"/>
          <w:szCs w:val="24"/>
        </w:rPr>
        <w:t xml:space="preserve"> objected to the Board's designation as Lead Agency within the statutory 30-day period under SEQRA; and</w:t>
      </w:r>
    </w:p>
    <w:p w14:paraId="7FAA2B0E"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 </w:t>
      </w:r>
    </w:p>
    <w:p w14:paraId="3E42B8E3" w14:textId="77777777" w:rsidR="00D04A00" w:rsidRPr="00D04A00" w:rsidRDefault="00D04A00" w:rsidP="00D04A00">
      <w:pPr>
        <w:widowControl/>
        <w:autoSpaceDE/>
        <w:autoSpaceDN/>
        <w:adjustRightInd/>
        <w:rPr>
          <w:bCs/>
          <w:iCs/>
          <w:spacing w:val="2"/>
          <w:sz w:val="24"/>
          <w:szCs w:val="24"/>
        </w:rPr>
      </w:pPr>
      <w:proofErr w:type="gramStart"/>
      <w:r w:rsidRPr="00D04A00">
        <w:rPr>
          <w:bCs/>
          <w:iCs/>
          <w:spacing w:val="2"/>
          <w:sz w:val="24"/>
          <w:szCs w:val="24"/>
        </w:rPr>
        <w:t>WHEREAS,</w:t>
      </w:r>
      <w:proofErr w:type="gramEnd"/>
      <w:r w:rsidRPr="00D04A00">
        <w:rPr>
          <w:bCs/>
          <w:iCs/>
          <w:spacing w:val="2"/>
          <w:sz w:val="24"/>
          <w:szCs w:val="24"/>
        </w:rPr>
        <w:t xml:space="preserve"> the Board held a Public Hearing on November 19, 2024 for the purpose of eliciting public input with respect to matters of the project affecting SEQRA, wherein multiple members of the public spoke at the meeting, all of which comments are reflected in the minutes of the meeting of November 19, 2024, and</w:t>
      </w:r>
    </w:p>
    <w:p w14:paraId="20BBBF99" w14:textId="77777777" w:rsidR="00D04A00" w:rsidRPr="00D04A00" w:rsidRDefault="00D04A00" w:rsidP="00D04A00">
      <w:pPr>
        <w:widowControl/>
        <w:autoSpaceDE/>
        <w:autoSpaceDN/>
        <w:adjustRightInd/>
        <w:rPr>
          <w:bCs/>
          <w:iCs/>
          <w:spacing w:val="2"/>
          <w:sz w:val="24"/>
          <w:szCs w:val="24"/>
        </w:rPr>
      </w:pPr>
    </w:p>
    <w:p w14:paraId="131B9090"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WHEREAS, the Board has thoroughly reviewed all information provided in Part 1 of the Full Environmental Assessment Form ("FEAF") and the additional materials submitted by the </w:t>
      </w:r>
      <w:r w:rsidRPr="00D04A00">
        <w:rPr>
          <w:bCs/>
          <w:iCs/>
          <w:spacing w:val="2"/>
          <w:sz w:val="24"/>
          <w:szCs w:val="24"/>
        </w:rPr>
        <w:lastRenderedPageBreak/>
        <w:t xml:space="preserve">Applicant regarding the activities proposed in connection with the Project and the potential effects of the Action including the </w:t>
      </w:r>
      <w:proofErr w:type="gramStart"/>
      <w:r w:rsidRPr="00D04A00">
        <w:rPr>
          <w:bCs/>
          <w:iCs/>
          <w:spacing w:val="2"/>
          <w:sz w:val="24"/>
          <w:szCs w:val="24"/>
        </w:rPr>
        <w:t>following;</w:t>
      </w:r>
      <w:proofErr w:type="gramEnd"/>
    </w:p>
    <w:p w14:paraId="23859445" w14:textId="77777777" w:rsidR="00D04A00" w:rsidRPr="00D04A00" w:rsidRDefault="00D04A00" w:rsidP="00D04A00">
      <w:pPr>
        <w:widowControl/>
        <w:autoSpaceDE/>
        <w:autoSpaceDN/>
        <w:adjustRightInd/>
        <w:rPr>
          <w:bCs/>
          <w:iCs/>
          <w:spacing w:val="2"/>
          <w:sz w:val="24"/>
          <w:szCs w:val="24"/>
        </w:rPr>
      </w:pPr>
    </w:p>
    <w:p w14:paraId="5695D822"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1.</w:t>
      </w:r>
      <w:r w:rsidRPr="00D04A00">
        <w:rPr>
          <w:bCs/>
          <w:iCs/>
          <w:spacing w:val="2"/>
          <w:sz w:val="24"/>
          <w:szCs w:val="24"/>
        </w:rPr>
        <w:tab/>
        <w:t>FEAF Part 1 dated December 12, 2024</w:t>
      </w:r>
    </w:p>
    <w:p w14:paraId="4D916B9D"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2.</w:t>
      </w:r>
      <w:r w:rsidRPr="00D04A00">
        <w:rPr>
          <w:bCs/>
          <w:iCs/>
          <w:spacing w:val="2"/>
          <w:sz w:val="24"/>
          <w:szCs w:val="24"/>
        </w:rPr>
        <w:tab/>
        <w:t>Revised Site Plan excluding Prince Property, dated December 6, 2024</w:t>
      </w:r>
    </w:p>
    <w:p w14:paraId="5EDA490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3.</w:t>
      </w:r>
      <w:r w:rsidRPr="00D04A00">
        <w:rPr>
          <w:bCs/>
          <w:iCs/>
          <w:spacing w:val="2"/>
          <w:sz w:val="24"/>
          <w:szCs w:val="24"/>
        </w:rPr>
        <w:tab/>
        <w:t>SEQR Drawing Set, dated October 14, 2024 (including subdivision plan, grading plan, utility/stormwater plan and landscape plan)</w:t>
      </w:r>
    </w:p>
    <w:p w14:paraId="772FF64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4.</w:t>
      </w:r>
      <w:r w:rsidRPr="00D04A00">
        <w:rPr>
          <w:bCs/>
          <w:iCs/>
          <w:spacing w:val="2"/>
          <w:sz w:val="24"/>
          <w:szCs w:val="24"/>
        </w:rPr>
        <w:tab/>
        <w:t xml:space="preserve">SWPPP, prepared by EDR, dated </w:t>
      </w:r>
      <w:proofErr w:type="gramStart"/>
      <w:r w:rsidRPr="00D04A00">
        <w:rPr>
          <w:bCs/>
          <w:iCs/>
          <w:spacing w:val="2"/>
          <w:sz w:val="24"/>
          <w:szCs w:val="24"/>
        </w:rPr>
        <w:t>October,</w:t>
      </w:r>
      <w:proofErr w:type="gramEnd"/>
      <w:r w:rsidRPr="00D04A00">
        <w:rPr>
          <w:bCs/>
          <w:iCs/>
          <w:spacing w:val="2"/>
          <w:sz w:val="24"/>
          <w:szCs w:val="24"/>
        </w:rPr>
        <w:t xml:space="preserve"> 2024</w:t>
      </w:r>
    </w:p>
    <w:p w14:paraId="06078A6A"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5.</w:t>
      </w:r>
      <w:r w:rsidRPr="00D04A00">
        <w:rPr>
          <w:bCs/>
          <w:iCs/>
          <w:spacing w:val="2"/>
          <w:sz w:val="24"/>
          <w:szCs w:val="24"/>
        </w:rPr>
        <w:tab/>
        <w:t>Traffic Impact Study, prepared by GTS Consulting, dated October 10, 2024</w:t>
      </w:r>
    </w:p>
    <w:p w14:paraId="6A55B3C9"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6.</w:t>
      </w:r>
      <w:r w:rsidRPr="00D04A00">
        <w:rPr>
          <w:bCs/>
          <w:iCs/>
          <w:spacing w:val="2"/>
          <w:sz w:val="24"/>
          <w:szCs w:val="24"/>
        </w:rPr>
        <w:tab/>
        <w:t>Weekly Traffic Count Review Letter, dated October 10, 2024</w:t>
      </w:r>
    </w:p>
    <w:p w14:paraId="74DF1775"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7.</w:t>
      </w:r>
      <w:r w:rsidRPr="00D04A00">
        <w:rPr>
          <w:bCs/>
          <w:iCs/>
          <w:spacing w:val="2"/>
          <w:sz w:val="24"/>
          <w:szCs w:val="24"/>
        </w:rPr>
        <w:tab/>
        <w:t>TIS Response letter from NYSDOT, Dated November 22, 2024</w:t>
      </w:r>
    </w:p>
    <w:p w14:paraId="2D93E3DC"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8.</w:t>
      </w:r>
      <w:r w:rsidRPr="00D04A00">
        <w:rPr>
          <w:bCs/>
          <w:iCs/>
          <w:spacing w:val="2"/>
          <w:sz w:val="24"/>
          <w:szCs w:val="24"/>
        </w:rPr>
        <w:tab/>
        <w:t>Redacted PSA, dated September 27, 2023</w:t>
      </w:r>
    </w:p>
    <w:p w14:paraId="1D99283F"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9.</w:t>
      </w:r>
      <w:r w:rsidRPr="00D04A00">
        <w:rPr>
          <w:bCs/>
          <w:iCs/>
          <w:spacing w:val="2"/>
          <w:sz w:val="24"/>
          <w:szCs w:val="24"/>
        </w:rPr>
        <w:tab/>
        <w:t>Phase 1, prepared by CHA, dated January 2024</w:t>
      </w:r>
    </w:p>
    <w:p w14:paraId="17A9AAA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10.</w:t>
      </w:r>
      <w:r w:rsidRPr="00D04A00">
        <w:rPr>
          <w:bCs/>
          <w:iCs/>
          <w:spacing w:val="2"/>
          <w:sz w:val="24"/>
          <w:szCs w:val="24"/>
        </w:rPr>
        <w:tab/>
        <w:t xml:space="preserve">Limited Phase 2, prepared by CHA, dated March 29, </w:t>
      </w:r>
      <w:proofErr w:type="gramStart"/>
      <w:r w:rsidRPr="00D04A00">
        <w:rPr>
          <w:bCs/>
          <w:iCs/>
          <w:spacing w:val="2"/>
          <w:sz w:val="24"/>
          <w:szCs w:val="24"/>
        </w:rPr>
        <w:t>2024</w:t>
      </w:r>
      <w:proofErr w:type="gramEnd"/>
      <w:r w:rsidRPr="00D04A00">
        <w:rPr>
          <w:bCs/>
          <w:iCs/>
          <w:spacing w:val="2"/>
          <w:sz w:val="24"/>
          <w:szCs w:val="24"/>
        </w:rPr>
        <w:t xml:space="preserve"> and,</w:t>
      </w:r>
    </w:p>
    <w:p w14:paraId="6304206E"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WHEREAS, the Board has taken a hard look at the environmental impacts of</w:t>
      </w:r>
    </w:p>
    <w:p w14:paraId="305D0769"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proposed and pursuant to the Regulations, the Board has considered the significance of the potential environmental impacts of the Action by (1) using the criteria specified in Section 617.7(c) of the Regulations, and (2) examining the FEAF for the Action, including the information in Parts 1 of the FEAF and completing the analyses for Parts 2 and 3 of the FEAF, together with examining other available supporting information relevant to the Action, to identify the relevant areas of environmental concern, and (3) thoroughly analyzing the identified areas of relevant environmental concern and has further ;</w:t>
      </w:r>
    </w:p>
    <w:p w14:paraId="7BF20CC0" w14:textId="77777777" w:rsidR="00D04A00" w:rsidRPr="00D04A00" w:rsidRDefault="00D04A00" w:rsidP="00D04A00">
      <w:pPr>
        <w:widowControl/>
        <w:autoSpaceDE/>
        <w:autoSpaceDN/>
        <w:adjustRightInd/>
        <w:rPr>
          <w:bCs/>
          <w:iCs/>
          <w:spacing w:val="2"/>
          <w:sz w:val="24"/>
          <w:szCs w:val="24"/>
        </w:rPr>
      </w:pPr>
    </w:p>
    <w:p w14:paraId="0FE0182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NOW, THEREFORE, </w:t>
      </w:r>
      <w:proofErr w:type="gramStart"/>
      <w:r w:rsidRPr="00D04A00">
        <w:rPr>
          <w:bCs/>
          <w:iCs/>
          <w:spacing w:val="2"/>
          <w:sz w:val="24"/>
          <w:szCs w:val="24"/>
        </w:rPr>
        <w:t>BE IT</w:t>
      </w:r>
      <w:proofErr w:type="gramEnd"/>
      <w:r w:rsidRPr="00D04A00">
        <w:rPr>
          <w:bCs/>
          <w:iCs/>
          <w:spacing w:val="2"/>
          <w:sz w:val="24"/>
          <w:szCs w:val="24"/>
        </w:rPr>
        <w:t xml:space="preserve"> RESOLVED THAT the Board confirms and adopts the following findings and conclusions with respect to SEQRA:</w:t>
      </w:r>
    </w:p>
    <w:p w14:paraId="230AD042" w14:textId="77777777" w:rsidR="00D04A00" w:rsidRPr="00D04A00" w:rsidRDefault="00D04A00" w:rsidP="00D04A00">
      <w:pPr>
        <w:widowControl/>
        <w:autoSpaceDE/>
        <w:autoSpaceDN/>
        <w:adjustRightInd/>
        <w:rPr>
          <w:bCs/>
          <w:iCs/>
          <w:spacing w:val="2"/>
          <w:sz w:val="24"/>
          <w:szCs w:val="24"/>
        </w:rPr>
      </w:pPr>
    </w:p>
    <w:p w14:paraId="70E429C6"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1.</w:t>
      </w:r>
      <w:r w:rsidRPr="00D04A00">
        <w:rPr>
          <w:bCs/>
          <w:iCs/>
          <w:spacing w:val="2"/>
          <w:sz w:val="24"/>
          <w:szCs w:val="24"/>
        </w:rPr>
        <w:tab/>
        <w:t>The Board confirms that this Action is subject to SEQRA and is a Type 1 Action under SEQRA and confirms itself "Lead Agency" (as said quoted term is defined in SEQRA) for purposes of the coordinated SEQRA review of this Action.</w:t>
      </w:r>
    </w:p>
    <w:p w14:paraId="7C237ACD" w14:textId="77777777" w:rsidR="00D04A00" w:rsidRPr="00D04A00" w:rsidRDefault="00D04A00" w:rsidP="00D04A00">
      <w:pPr>
        <w:widowControl/>
        <w:autoSpaceDE/>
        <w:autoSpaceDN/>
        <w:adjustRightInd/>
        <w:rPr>
          <w:bCs/>
          <w:iCs/>
          <w:spacing w:val="2"/>
          <w:sz w:val="24"/>
          <w:szCs w:val="24"/>
        </w:rPr>
      </w:pPr>
    </w:p>
    <w:p w14:paraId="782AFDA2"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2.</w:t>
      </w:r>
      <w:r w:rsidRPr="00D04A00">
        <w:rPr>
          <w:bCs/>
          <w:iCs/>
          <w:spacing w:val="2"/>
          <w:sz w:val="24"/>
          <w:szCs w:val="24"/>
        </w:rPr>
        <w:tab/>
        <w:t xml:space="preserve">The Board has compared the impacts that may reasonably be expected to result from the Action to the criteria for determining significance identified in Section 617.7(c)(1) of the Regulations and evaluated the issues of causation and significance </w:t>
      </w:r>
      <w:proofErr w:type="gramStart"/>
      <w:r w:rsidRPr="00D04A00">
        <w:rPr>
          <w:bCs/>
          <w:iCs/>
          <w:spacing w:val="2"/>
          <w:sz w:val="24"/>
          <w:szCs w:val="24"/>
        </w:rPr>
        <w:t>in light of</w:t>
      </w:r>
      <w:proofErr w:type="gramEnd"/>
      <w:r w:rsidRPr="00D04A00">
        <w:rPr>
          <w:bCs/>
          <w:iCs/>
          <w:spacing w:val="2"/>
          <w:sz w:val="24"/>
          <w:szCs w:val="24"/>
        </w:rPr>
        <w:t xml:space="preserve"> the standards under the same Section of the Regulations.</w:t>
      </w:r>
    </w:p>
    <w:p w14:paraId="24513719"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 </w:t>
      </w:r>
    </w:p>
    <w:p w14:paraId="685D5F75" w14:textId="0087DAA2" w:rsidR="00D04A00" w:rsidRPr="00D04A00" w:rsidRDefault="00D04A00" w:rsidP="00D04A00">
      <w:pPr>
        <w:widowControl/>
        <w:autoSpaceDE/>
        <w:autoSpaceDN/>
        <w:adjustRightInd/>
        <w:rPr>
          <w:bCs/>
          <w:iCs/>
          <w:spacing w:val="2"/>
          <w:sz w:val="24"/>
          <w:szCs w:val="24"/>
        </w:rPr>
      </w:pPr>
      <w:r w:rsidRPr="00D04A00">
        <w:rPr>
          <w:bCs/>
          <w:iCs/>
          <w:spacing w:val="2"/>
          <w:sz w:val="24"/>
          <w:szCs w:val="24"/>
        </w:rPr>
        <w:t>3.</w:t>
      </w:r>
      <w:r w:rsidRPr="00D04A00">
        <w:rPr>
          <w:bCs/>
          <w:iCs/>
          <w:spacing w:val="2"/>
          <w:sz w:val="24"/>
          <w:szCs w:val="24"/>
        </w:rPr>
        <w:tab/>
        <w:t>The Board examined and addressed each of the 18 potential environmental impacts as set forth in the Full Environmental Assessment Form (FEAF) Part</w:t>
      </w:r>
      <w:r w:rsidR="00E46E91">
        <w:rPr>
          <w:bCs/>
          <w:iCs/>
          <w:spacing w:val="2"/>
          <w:sz w:val="24"/>
          <w:szCs w:val="24"/>
        </w:rPr>
        <w:t xml:space="preserve"> </w:t>
      </w:r>
      <w:r w:rsidRPr="00D04A00">
        <w:rPr>
          <w:bCs/>
          <w:iCs/>
          <w:spacing w:val="2"/>
          <w:sz w:val="24"/>
          <w:szCs w:val="24"/>
        </w:rPr>
        <w:t xml:space="preserve">2. The conclusions in </w:t>
      </w:r>
      <w:proofErr w:type="gramStart"/>
      <w:r w:rsidRPr="00D04A00">
        <w:rPr>
          <w:bCs/>
          <w:iCs/>
          <w:spacing w:val="2"/>
          <w:sz w:val="24"/>
          <w:szCs w:val="24"/>
        </w:rPr>
        <w:t>the FEAF</w:t>
      </w:r>
      <w:proofErr w:type="gramEnd"/>
      <w:r w:rsidRPr="00D04A00">
        <w:rPr>
          <w:bCs/>
          <w:iCs/>
          <w:spacing w:val="2"/>
          <w:sz w:val="24"/>
          <w:szCs w:val="24"/>
        </w:rPr>
        <w:t xml:space="preserve"> Part 2 were determined after full review of the site plan, subdivision, consultation with the Full EAF Workbook, consultation and advice of the Planning Board Engineer, and review of all documents, public comments and information available to the Board. Further while detailed site plans and other documents submitted by the Applicant have undergone review of this Board, this Board has yet to refer this application to the Village Board for action on a Planned Development District (POD) as required by the Village Code of the Village of Baldwinsville; and further, neither Site plan approval nor subdivision, as required, has not yet been granted by this Board, the Applicant and Board have engaged in months long process of </w:t>
      </w:r>
      <w:r w:rsidRPr="00D04A00">
        <w:rPr>
          <w:bCs/>
          <w:iCs/>
          <w:spacing w:val="2"/>
          <w:sz w:val="24"/>
          <w:szCs w:val="24"/>
        </w:rPr>
        <w:lastRenderedPageBreak/>
        <w:t>review of matters of storm water, grading, drainage site layout and other matters which affect these SEQRA findings.</w:t>
      </w:r>
    </w:p>
    <w:p w14:paraId="6123F8D3" w14:textId="77777777" w:rsidR="00D04A00" w:rsidRPr="00D04A00" w:rsidRDefault="00D04A00" w:rsidP="00D04A00">
      <w:pPr>
        <w:widowControl/>
        <w:autoSpaceDE/>
        <w:autoSpaceDN/>
        <w:adjustRightInd/>
        <w:rPr>
          <w:bCs/>
          <w:iCs/>
          <w:spacing w:val="2"/>
          <w:sz w:val="24"/>
          <w:szCs w:val="24"/>
        </w:rPr>
      </w:pPr>
    </w:p>
    <w:p w14:paraId="3C0D910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4.</w:t>
      </w:r>
      <w:r w:rsidRPr="00D04A00">
        <w:rPr>
          <w:bCs/>
          <w:iCs/>
          <w:spacing w:val="2"/>
          <w:sz w:val="24"/>
          <w:szCs w:val="24"/>
        </w:rPr>
        <w:tab/>
        <w:t xml:space="preserve">Accordingly, the Planning Board has answered each of the Impacts in </w:t>
      </w:r>
      <w:proofErr w:type="gramStart"/>
      <w:r w:rsidRPr="00D04A00">
        <w:rPr>
          <w:bCs/>
          <w:iCs/>
          <w:spacing w:val="2"/>
          <w:sz w:val="24"/>
          <w:szCs w:val="24"/>
        </w:rPr>
        <w:t>the Part</w:t>
      </w:r>
      <w:proofErr w:type="gramEnd"/>
      <w:r w:rsidRPr="00D04A00">
        <w:rPr>
          <w:bCs/>
          <w:iCs/>
          <w:spacing w:val="2"/>
          <w:sz w:val="24"/>
          <w:szCs w:val="24"/>
        </w:rPr>
        <w:t xml:space="preserve"> 2 FEAF as "No small impact may occur</w:t>
      </w:r>
      <w:proofErr w:type="gramStart"/>
      <w:r w:rsidRPr="00D04A00">
        <w:rPr>
          <w:bCs/>
          <w:iCs/>
          <w:spacing w:val="2"/>
          <w:sz w:val="24"/>
          <w:szCs w:val="24"/>
        </w:rPr>
        <w:t>" .</w:t>
      </w:r>
      <w:proofErr w:type="gramEnd"/>
      <w:r w:rsidRPr="00D04A00">
        <w:rPr>
          <w:bCs/>
          <w:iCs/>
          <w:spacing w:val="2"/>
          <w:sz w:val="24"/>
          <w:szCs w:val="24"/>
        </w:rPr>
        <w:t xml:space="preserve"> However, </w:t>
      </w:r>
      <w:proofErr w:type="gramStart"/>
      <w:r w:rsidRPr="00D04A00">
        <w:rPr>
          <w:bCs/>
          <w:iCs/>
          <w:spacing w:val="2"/>
          <w:sz w:val="24"/>
          <w:szCs w:val="24"/>
        </w:rPr>
        <w:t>in the course of</w:t>
      </w:r>
      <w:proofErr w:type="gramEnd"/>
      <w:r w:rsidRPr="00D04A00">
        <w:rPr>
          <w:bCs/>
          <w:iCs/>
          <w:spacing w:val="2"/>
          <w:sz w:val="24"/>
          <w:szCs w:val="24"/>
        </w:rPr>
        <w:t xml:space="preserve"> review, the Board identified several specific matters that may have the potential to present moderate to large impacts, and which require specific scrutiny in the SEQRA process. These matters are further discussed below:</w:t>
      </w:r>
    </w:p>
    <w:p w14:paraId="6F81228A" w14:textId="77777777" w:rsidR="00D04A00" w:rsidRPr="00D04A00" w:rsidRDefault="00D04A00" w:rsidP="00D04A00">
      <w:pPr>
        <w:widowControl/>
        <w:autoSpaceDE/>
        <w:autoSpaceDN/>
        <w:adjustRightInd/>
        <w:rPr>
          <w:bCs/>
          <w:iCs/>
          <w:spacing w:val="2"/>
          <w:sz w:val="24"/>
          <w:szCs w:val="24"/>
        </w:rPr>
      </w:pPr>
    </w:p>
    <w:p w14:paraId="4816EB0A"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(A)</w:t>
      </w:r>
      <w:r w:rsidRPr="00D04A00">
        <w:rPr>
          <w:bCs/>
          <w:iCs/>
          <w:spacing w:val="2"/>
          <w:sz w:val="24"/>
          <w:szCs w:val="24"/>
        </w:rPr>
        <w:tab/>
        <w:t xml:space="preserve">FEAF Part 2 - Item 1. d. The proposed action may involve excavation and removal of more than 1,000 tons of waste but </w:t>
      </w:r>
      <w:proofErr w:type="gramStart"/>
      <w:r w:rsidRPr="00D04A00">
        <w:rPr>
          <w:bCs/>
          <w:iCs/>
          <w:spacing w:val="2"/>
          <w:sz w:val="24"/>
          <w:szCs w:val="24"/>
        </w:rPr>
        <w:t>same</w:t>
      </w:r>
      <w:proofErr w:type="gramEnd"/>
      <w:r w:rsidRPr="00D04A00">
        <w:rPr>
          <w:bCs/>
          <w:iCs/>
          <w:spacing w:val="2"/>
          <w:sz w:val="24"/>
          <w:szCs w:val="24"/>
        </w:rPr>
        <w:t xml:space="preserve"> will be managed using removal of soil off-site during regular business hours and soil and excavation and removal plan is part of the SWPPP.</w:t>
      </w:r>
    </w:p>
    <w:p w14:paraId="3243AF7B" w14:textId="77777777" w:rsidR="00D04A00" w:rsidRPr="00D04A00" w:rsidRDefault="00D04A00" w:rsidP="00D04A00">
      <w:pPr>
        <w:widowControl/>
        <w:autoSpaceDE/>
        <w:autoSpaceDN/>
        <w:adjustRightInd/>
        <w:rPr>
          <w:bCs/>
          <w:iCs/>
          <w:spacing w:val="2"/>
          <w:sz w:val="24"/>
          <w:szCs w:val="24"/>
        </w:rPr>
      </w:pPr>
    </w:p>
    <w:p w14:paraId="69AFDB25"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(B)</w:t>
      </w:r>
      <w:r w:rsidRPr="00D04A00">
        <w:rPr>
          <w:bCs/>
          <w:iCs/>
          <w:spacing w:val="2"/>
          <w:sz w:val="24"/>
          <w:szCs w:val="24"/>
        </w:rPr>
        <w:tab/>
        <w:t>FEAF Part 2 - Item 1.e. The proposed action may involve construction that continues for more than one year or in multiple phases but will be managed by a phasing plan that will address any potential impacts.</w:t>
      </w:r>
    </w:p>
    <w:p w14:paraId="1A771600" w14:textId="77777777" w:rsidR="00D04A00" w:rsidRPr="00D04A00" w:rsidRDefault="00D04A00" w:rsidP="00D04A00">
      <w:pPr>
        <w:widowControl/>
        <w:autoSpaceDE/>
        <w:autoSpaceDN/>
        <w:adjustRightInd/>
        <w:rPr>
          <w:bCs/>
          <w:iCs/>
          <w:spacing w:val="2"/>
          <w:sz w:val="24"/>
          <w:szCs w:val="24"/>
        </w:rPr>
      </w:pPr>
    </w:p>
    <w:p w14:paraId="6593C5A1"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(C)</w:t>
      </w:r>
      <w:r w:rsidRPr="00D04A00">
        <w:rPr>
          <w:bCs/>
          <w:iCs/>
          <w:spacing w:val="2"/>
          <w:sz w:val="24"/>
          <w:szCs w:val="24"/>
        </w:rPr>
        <w:tab/>
        <w:t xml:space="preserve">FEAF Part 3 - Impacts on Surface </w:t>
      </w:r>
      <w:proofErr w:type="gramStart"/>
      <w:r w:rsidRPr="00D04A00">
        <w:rPr>
          <w:bCs/>
          <w:iCs/>
          <w:spacing w:val="2"/>
          <w:sz w:val="24"/>
          <w:szCs w:val="24"/>
        </w:rPr>
        <w:t>Water :</w:t>
      </w:r>
      <w:proofErr w:type="gramEnd"/>
    </w:p>
    <w:p w14:paraId="53992929" w14:textId="77777777" w:rsidR="00E46E91" w:rsidRDefault="00E46E91" w:rsidP="00D04A00">
      <w:pPr>
        <w:widowControl/>
        <w:autoSpaceDE/>
        <w:autoSpaceDN/>
        <w:adjustRightInd/>
        <w:rPr>
          <w:bCs/>
          <w:iCs/>
          <w:spacing w:val="2"/>
          <w:sz w:val="24"/>
          <w:szCs w:val="24"/>
        </w:rPr>
      </w:pPr>
    </w:p>
    <w:p w14:paraId="6859FC90" w14:textId="6A9ADDA5"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Wetlands: The Applicant has identified the presence of wetlands on the Property through the Wetland and Stream Delineation Report prepared by its consultant EDR dated September 2024 (the "Delineation Report"). EDR conducted field delineations of wetlands and streams at the Property on October 16 and October 17, 2023, and during a USAGE site visit on August 12, 2024. Six small wetlands (totaling 0.9 acres) and three streams, two of which were ephemeral drainage features, were identified. All but one of the wetlands were determined to be </w:t>
      </w:r>
      <w:proofErr w:type="spellStart"/>
      <w:r w:rsidRPr="00D04A00">
        <w:rPr>
          <w:bCs/>
          <w:iCs/>
          <w:spacing w:val="2"/>
          <w:sz w:val="24"/>
          <w:szCs w:val="24"/>
        </w:rPr>
        <w:t>non</w:t>
      </w:r>
      <w:proofErr w:type="spellEnd"/>
      <w:r w:rsidRPr="00D04A00">
        <w:rPr>
          <w:bCs/>
          <w:iCs/>
          <w:spacing w:val="2"/>
          <w:sz w:val="24"/>
          <w:szCs w:val="24"/>
        </w:rPr>
        <w:t>­ jurisdictional in terms of federal jurisdiction by a determination made by the Army Corps of Engineers, dated September 18, 2024. None of the wetlands are expected to fall under NYSDEC jurisdiction. The project was designed to minimize impacts on wetlands. The Applicant shall be</w:t>
      </w:r>
      <w:r w:rsidR="00E46E91">
        <w:rPr>
          <w:bCs/>
          <w:iCs/>
          <w:spacing w:val="2"/>
          <w:sz w:val="24"/>
          <w:szCs w:val="24"/>
        </w:rPr>
        <w:t xml:space="preserve"> </w:t>
      </w:r>
      <w:r w:rsidRPr="00D04A00">
        <w:rPr>
          <w:bCs/>
          <w:iCs/>
          <w:spacing w:val="2"/>
          <w:sz w:val="24"/>
          <w:szCs w:val="24"/>
        </w:rPr>
        <w:t>permitted to disturb less than 0.5 acres of wetlands pursuant to a Nationwide General Permit issued by the Army Corps of Engineers.</w:t>
      </w:r>
    </w:p>
    <w:p w14:paraId="5F3B071D" w14:textId="77777777" w:rsidR="00D04A00" w:rsidRPr="00D04A00" w:rsidRDefault="00D04A00" w:rsidP="00D04A00">
      <w:pPr>
        <w:widowControl/>
        <w:autoSpaceDE/>
        <w:autoSpaceDN/>
        <w:adjustRightInd/>
        <w:rPr>
          <w:bCs/>
          <w:iCs/>
          <w:spacing w:val="2"/>
          <w:sz w:val="24"/>
          <w:szCs w:val="24"/>
        </w:rPr>
      </w:pPr>
    </w:p>
    <w:p w14:paraId="768CC577"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Surface Water: The Applicant has prepared a draft Storm Water Pollution Prevention Plan ("SWPPP"), dated October 24, 2024. The project plans and the SWPPP provide that the collection of storm water from development areas and the existing wetlands/streams on site will be kept separate. The project design includes stormwater detention ponds, underground pipes to convey storm water to those ponds and treatment of stormwater prior to discharge. Site grading shall direct all on-site developed runoff to the proposed stormwater management facilities. The limited reduction of wetland area on the property will be compensated for by the creation of additional storage capacity adjacent to the wetlands through site grading. All culverts and infrastructure associated with the wetlands and streams on the site will be sized to ensure that water is conveyed across the Property at the same rate as existing conditions. The project design includes storm drains and grading necessary to prevent stormwater from flowing onto roadways. Further engineering review of the SWPPP, stormwater hydrology modeling, and the design of the stormwater management and conveyance facilities will continue at a later stage of the Village review process as the design is further scrutinized and refined. Adequate </w:t>
      </w:r>
      <w:r w:rsidRPr="00D04A00">
        <w:rPr>
          <w:bCs/>
          <w:iCs/>
          <w:spacing w:val="2"/>
          <w:sz w:val="24"/>
          <w:szCs w:val="24"/>
        </w:rPr>
        <w:lastRenderedPageBreak/>
        <w:t xml:space="preserve">space is available to adjust the storage capacity of the </w:t>
      </w:r>
      <w:proofErr w:type="gramStart"/>
      <w:r w:rsidRPr="00D04A00">
        <w:rPr>
          <w:bCs/>
          <w:iCs/>
          <w:spacing w:val="2"/>
          <w:sz w:val="24"/>
          <w:szCs w:val="24"/>
        </w:rPr>
        <w:t>depicted stormwater management facilities</w:t>
      </w:r>
      <w:proofErr w:type="gramEnd"/>
      <w:r w:rsidRPr="00D04A00">
        <w:rPr>
          <w:bCs/>
          <w:iCs/>
          <w:spacing w:val="2"/>
          <w:sz w:val="24"/>
          <w:szCs w:val="24"/>
        </w:rPr>
        <w:t xml:space="preserve"> as necessary.</w:t>
      </w:r>
    </w:p>
    <w:p w14:paraId="11804F95" w14:textId="77777777" w:rsidR="00D04A00" w:rsidRPr="00D04A00" w:rsidRDefault="00D04A00" w:rsidP="00D04A00">
      <w:pPr>
        <w:widowControl/>
        <w:autoSpaceDE/>
        <w:autoSpaceDN/>
        <w:adjustRightInd/>
        <w:rPr>
          <w:bCs/>
          <w:iCs/>
          <w:spacing w:val="2"/>
          <w:sz w:val="24"/>
          <w:szCs w:val="24"/>
        </w:rPr>
      </w:pPr>
    </w:p>
    <w:p w14:paraId="0279C998"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(D)</w:t>
      </w:r>
      <w:r w:rsidRPr="00D04A00">
        <w:rPr>
          <w:bCs/>
          <w:iCs/>
          <w:spacing w:val="2"/>
          <w:sz w:val="24"/>
          <w:szCs w:val="24"/>
        </w:rPr>
        <w:tab/>
        <w:t xml:space="preserve">FEAF Part 2 Item 4 a. - The proposed action may require new water supply wells or create additional demand </w:t>
      </w:r>
      <w:proofErr w:type="gramStart"/>
      <w:r w:rsidRPr="00D04A00">
        <w:rPr>
          <w:bCs/>
          <w:iCs/>
          <w:spacing w:val="2"/>
          <w:sz w:val="24"/>
          <w:szCs w:val="24"/>
        </w:rPr>
        <w:t>on</w:t>
      </w:r>
      <w:proofErr w:type="gramEnd"/>
      <w:r w:rsidRPr="00D04A00">
        <w:rPr>
          <w:bCs/>
          <w:iCs/>
          <w:spacing w:val="2"/>
          <w:sz w:val="24"/>
          <w:szCs w:val="24"/>
        </w:rPr>
        <w:t xml:space="preserve"> supplies from existing water supply wells. The plan shows up to 5% increase in demand, however it has been determined that the Village has the capacity to handle the impact through the Village system. Further Onondaga County Department of Water Environment Protection has noted that WEP's Capacity Assurance Program shall evaluate requests for sewer service connections to ensure the sewer system can handle the additional flow of wastewater. WEP requires Capacity Assurance reviews for all new lateral connections to existing sewer mains and for the re-use of existing laterals before they can be reviewed and approved by the Onondaga County Health. The applicant is required to submit a Capacity Assurance Review to WEP and comply with any directives of WEP and OCWA.</w:t>
      </w:r>
    </w:p>
    <w:p w14:paraId="1537841E" w14:textId="77777777" w:rsidR="00D04A00" w:rsidRPr="00D04A00" w:rsidRDefault="00D04A00" w:rsidP="00D04A00">
      <w:pPr>
        <w:widowControl/>
        <w:autoSpaceDE/>
        <w:autoSpaceDN/>
        <w:adjustRightInd/>
        <w:rPr>
          <w:bCs/>
          <w:iCs/>
          <w:spacing w:val="2"/>
          <w:sz w:val="24"/>
          <w:szCs w:val="24"/>
        </w:rPr>
      </w:pPr>
    </w:p>
    <w:p w14:paraId="0DD439B6" w14:textId="77777777" w:rsidR="00D04A00" w:rsidRPr="00D04A00" w:rsidRDefault="00D04A00" w:rsidP="00D04A00">
      <w:pPr>
        <w:widowControl/>
        <w:autoSpaceDE/>
        <w:autoSpaceDN/>
        <w:adjustRightInd/>
        <w:rPr>
          <w:bCs/>
          <w:iCs/>
          <w:spacing w:val="2"/>
          <w:sz w:val="24"/>
          <w:szCs w:val="24"/>
        </w:rPr>
      </w:pPr>
    </w:p>
    <w:p w14:paraId="21B6B830"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(E)</w:t>
      </w:r>
      <w:r w:rsidRPr="00D04A00">
        <w:rPr>
          <w:bCs/>
          <w:iCs/>
          <w:spacing w:val="2"/>
          <w:sz w:val="24"/>
          <w:szCs w:val="24"/>
        </w:rPr>
        <w:tab/>
        <w:t>FEAF Part 2 Item 5 - Impact on Flooding - It is noted that there is currently flooding on and adjacent to the site; however, grading and final site design and all matters noted in the SWPPP will result in a lesser impact and may assist in mitigation of the current condition.</w:t>
      </w:r>
    </w:p>
    <w:p w14:paraId="79C4BE55"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 </w:t>
      </w:r>
    </w:p>
    <w:p w14:paraId="0BC6CC3A"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(F)</w:t>
      </w:r>
      <w:r w:rsidRPr="00D04A00">
        <w:rPr>
          <w:bCs/>
          <w:iCs/>
          <w:spacing w:val="2"/>
          <w:sz w:val="24"/>
          <w:szCs w:val="24"/>
        </w:rPr>
        <w:tab/>
        <w:t xml:space="preserve">FEAF Part 2 Item 7 b. - The Applicant has shown that it will mitigate any impact </w:t>
      </w:r>
      <w:proofErr w:type="gramStart"/>
      <w:r w:rsidRPr="00D04A00">
        <w:rPr>
          <w:bCs/>
          <w:iCs/>
          <w:spacing w:val="2"/>
          <w:sz w:val="24"/>
          <w:szCs w:val="24"/>
        </w:rPr>
        <w:t>to</w:t>
      </w:r>
      <w:proofErr w:type="gramEnd"/>
      <w:r w:rsidRPr="00D04A00">
        <w:rPr>
          <w:bCs/>
          <w:iCs/>
          <w:spacing w:val="2"/>
          <w:sz w:val="24"/>
          <w:szCs w:val="24"/>
        </w:rPr>
        <w:t xml:space="preserve"> the Indiana Bat; and the Applicant has examined the site for any presence of eagle nesting sites, and none have been found. Should </w:t>
      </w:r>
      <w:proofErr w:type="gramStart"/>
      <w:r w:rsidRPr="00D04A00">
        <w:rPr>
          <w:bCs/>
          <w:iCs/>
          <w:spacing w:val="2"/>
          <w:sz w:val="24"/>
          <w:szCs w:val="24"/>
        </w:rPr>
        <w:t>any</w:t>
      </w:r>
      <w:proofErr w:type="gramEnd"/>
      <w:r w:rsidRPr="00D04A00">
        <w:rPr>
          <w:bCs/>
          <w:iCs/>
          <w:spacing w:val="2"/>
          <w:sz w:val="24"/>
          <w:szCs w:val="24"/>
        </w:rPr>
        <w:t xml:space="preserve"> be found in the future, all regulations pursuant to the DEC shall be complied with.</w:t>
      </w:r>
    </w:p>
    <w:p w14:paraId="64957E99" w14:textId="77777777" w:rsidR="00D04A00" w:rsidRPr="00D04A00" w:rsidRDefault="00D04A00" w:rsidP="00D04A00">
      <w:pPr>
        <w:widowControl/>
        <w:autoSpaceDE/>
        <w:autoSpaceDN/>
        <w:adjustRightInd/>
        <w:rPr>
          <w:bCs/>
          <w:iCs/>
          <w:spacing w:val="2"/>
          <w:sz w:val="24"/>
          <w:szCs w:val="24"/>
        </w:rPr>
      </w:pPr>
    </w:p>
    <w:p w14:paraId="4729F910" w14:textId="6D007C35" w:rsidR="00D04A00" w:rsidRPr="00D04A00" w:rsidRDefault="00D04A00" w:rsidP="00D04A00">
      <w:pPr>
        <w:widowControl/>
        <w:autoSpaceDE/>
        <w:autoSpaceDN/>
        <w:adjustRightInd/>
        <w:rPr>
          <w:bCs/>
          <w:iCs/>
          <w:spacing w:val="2"/>
          <w:sz w:val="24"/>
          <w:szCs w:val="24"/>
        </w:rPr>
      </w:pPr>
      <w:r w:rsidRPr="00D04A00">
        <w:rPr>
          <w:bCs/>
          <w:iCs/>
          <w:spacing w:val="2"/>
          <w:sz w:val="24"/>
          <w:szCs w:val="24"/>
        </w:rPr>
        <w:t>(G)</w:t>
      </w:r>
      <w:r w:rsidRPr="00D04A00">
        <w:rPr>
          <w:bCs/>
          <w:iCs/>
          <w:spacing w:val="2"/>
          <w:sz w:val="24"/>
          <w:szCs w:val="24"/>
        </w:rPr>
        <w:tab/>
        <w:t xml:space="preserve">FEAF Item 13 - Impact on Transportation: The Applicant provided a Revised Combined Traffic Impact Assessment dated October 10, 2024 (the "TIS"). The Applicant also submitted updated traffic counts at the request of the Board to </w:t>
      </w:r>
      <w:proofErr w:type="gramStart"/>
      <w:r w:rsidRPr="00D04A00">
        <w:rPr>
          <w:bCs/>
          <w:iCs/>
          <w:spacing w:val="2"/>
          <w:sz w:val="24"/>
          <w:szCs w:val="24"/>
        </w:rPr>
        <w:t>comparing</w:t>
      </w:r>
      <w:proofErr w:type="gramEnd"/>
      <w:r w:rsidRPr="00D04A00">
        <w:rPr>
          <w:bCs/>
          <w:iCs/>
          <w:spacing w:val="2"/>
          <w:sz w:val="24"/>
          <w:szCs w:val="24"/>
        </w:rPr>
        <w:t xml:space="preserve"> counts taken in October 2024 with counts taken in March 2024. The additional traffic counts did not change the original conclusions of the TIS. The TIS concluded that the additional traffic generated by the proposed Bronze Foundry Lofts and</w:t>
      </w:r>
      <w:r w:rsidR="00E46E91">
        <w:rPr>
          <w:bCs/>
          <w:iCs/>
          <w:spacing w:val="2"/>
          <w:sz w:val="24"/>
          <w:szCs w:val="24"/>
        </w:rPr>
        <w:t xml:space="preserve"> </w:t>
      </w:r>
      <w:r w:rsidRPr="00D04A00">
        <w:rPr>
          <w:bCs/>
          <w:iCs/>
          <w:spacing w:val="2"/>
          <w:sz w:val="24"/>
          <w:szCs w:val="24"/>
        </w:rPr>
        <w:t>19 Phillips Street Apartments developments will have no significant impact on traffic operations in the area with the installation of a semi­ actuated uncoordinated traffic signal at the intersection of NYS Route</w:t>
      </w:r>
      <w:r w:rsidR="00E46E91">
        <w:rPr>
          <w:bCs/>
          <w:iCs/>
          <w:spacing w:val="2"/>
          <w:sz w:val="24"/>
          <w:szCs w:val="24"/>
        </w:rPr>
        <w:t xml:space="preserve"> </w:t>
      </w:r>
      <w:r w:rsidRPr="00D04A00">
        <w:rPr>
          <w:bCs/>
          <w:iCs/>
          <w:spacing w:val="2"/>
          <w:sz w:val="24"/>
          <w:szCs w:val="24"/>
        </w:rPr>
        <w:t xml:space="preserve">31 with Oneida Street. The signal would be expected to improve operations to some level at the adjacent intersection as left turning traffic onto NYS Route 31 would likely divert to the signal. The TIS further concluded that there are adequate gaps in traffic and good sight lines available at the access points for each development to provide safe access. A review letter submitted by NYSDOT dated November 22, </w:t>
      </w:r>
      <w:proofErr w:type="gramStart"/>
      <w:r w:rsidRPr="00D04A00">
        <w:rPr>
          <w:bCs/>
          <w:iCs/>
          <w:spacing w:val="2"/>
          <w:sz w:val="24"/>
          <w:szCs w:val="24"/>
        </w:rPr>
        <w:t>2024</w:t>
      </w:r>
      <w:proofErr w:type="gramEnd"/>
      <w:r w:rsidRPr="00D04A00">
        <w:rPr>
          <w:bCs/>
          <w:iCs/>
          <w:spacing w:val="2"/>
          <w:sz w:val="24"/>
          <w:szCs w:val="24"/>
        </w:rPr>
        <w:t xml:space="preserve"> states that the DOT agrees with the installation of a traffic light at the corner of Route 31 and Oneida Street. The review letter suggested that the driveway providing access to Salina Street be repositioned to the east to provide better sightlines. The project plans were adjusted </w:t>
      </w:r>
      <w:proofErr w:type="gramStart"/>
      <w:r w:rsidRPr="00D04A00">
        <w:rPr>
          <w:bCs/>
          <w:iCs/>
          <w:spacing w:val="2"/>
          <w:sz w:val="24"/>
          <w:szCs w:val="24"/>
        </w:rPr>
        <w:t>consistent</w:t>
      </w:r>
      <w:proofErr w:type="gramEnd"/>
      <w:r w:rsidRPr="00D04A00">
        <w:rPr>
          <w:bCs/>
          <w:iCs/>
          <w:spacing w:val="2"/>
          <w:sz w:val="24"/>
          <w:szCs w:val="24"/>
        </w:rPr>
        <w:t xml:space="preserve"> with the NYSDOT recommendation. Further, after discussion with the Board, the applicant provided an internal traffic pattern on the site that will discourage cut-through traffic through the site.</w:t>
      </w:r>
    </w:p>
    <w:p w14:paraId="3044B567" w14:textId="77777777" w:rsidR="00D04A00" w:rsidRPr="00D04A00" w:rsidRDefault="00D04A00" w:rsidP="00D04A00">
      <w:pPr>
        <w:widowControl/>
        <w:autoSpaceDE/>
        <w:autoSpaceDN/>
        <w:adjustRightInd/>
        <w:rPr>
          <w:bCs/>
          <w:iCs/>
          <w:spacing w:val="2"/>
          <w:sz w:val="24"/>
          <w:szCs w:val="24"/>
        </w:rPr>
      </w:pPr>
    </w:p>
    <w:p w14:paraId="56EFFB0C"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(H)</w:t>
      </w:r>
      <w:r w:rsidRPr="00D04A00">
        <w:rPr>
          <w:bCs/>
          <w:iCs/>
          <w:spacing w:val="2"/>
          <w:sz w:val="24"/>
          <w:szCs w:val="24"/>
        </w:rPr>
        <w:tab/>
        <w:t>FEAF Item 15 -e. The project will result in lighting that will create sky­ glow brighter than existing conditions</w:t>
      </w:r>
      <w:proofErr w:type="gramStart"/>
      <w:r w:rsidRPr="00D04A00">
        <w:rPr>
          <w:bCs/>
          <w:iCs/>
          <w:spacing w:val="2"/>
          <w:sz w:val="24"/>
          <w:szCs w:val="24"/>
        </w:rPr>
        <w:t xml:space="preserve"> however</w:t>
      </w:r>
      <w:proofErr w:type="gramEnd"/>
      <w:r w:rsidRPr="00D04A00">
        <w:rPr>
          <w:bCs/>
          <w:iCs/>
          <w:spacing w:val="2"/>
          <w:sz w:val="24"/>
          <w:szCs w:val="24"/>
        </w:rPr>
        <w:t xml:space="preserve">, the requirement of night sky compliant lighting, fencing, </w:t>
      </w:r>
      <w:r w:rsidRPr="00D04A00">
        <w:rPr>
          <w:bCs/>
          <w:iCs/>
          <w:spacing w:val="2"/>
          <w:sz w:val="24"/>
          <w:szCs w:val="24"/>
        </w:rPr>
        <w:lastRenderedPageBreak/>
        <w:t>trees and buffers along the residential adjoining properties in a detailed lighting and landscaping plan will sufficiently mitigate the impacts.</w:t>
      </w:r>
    </w:p>
    <w:p w14:paraId="4F7ED1E7" w14:textId="77777777" w:rsidR="00D04A00" w:rsidRPr="00D04A00" w:rsidRDefault="00D04A00" w:rsidP="00D04A00">
      <w:pPr>
        <w:widowControl/>
        <w:autoSpaceDE/>
        <w:autoSpaceDN/>
        <w:adjustRightInd/>
        <w:rPr>
          <w:bCs/>
          <w:iCs/>
          <w:spacing w:val="2"/>
          <w:sz w:val="24"/>
          <w:szCs w:val="24"/>
        </w:rPr>
      </w:pPr>
    </w:p>
    <w:p w14:paraId="4F475CE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(I)</w:t>
      </w:r>
      <w:r w:rsidRPr="00D04A00">
        <w:rPr>
          <w:bCs/>
          <w:iCs/>
          <w:spacing w:val="2"/>
          <w:sz w:val="24"/>
          <w:szCs w:val="24"/>
        </w:rPr>
        <w:tab/>
        <w:t xml:space="preserve">FEAF Item 16 c. y. j. k. - CHA completed a full Phase I, dated January 2024, that concluded "this assessment revealed no recognized environmental conditions or controlled recognized environmental conditions in connection with the Subject Property." The Applicant arranged to have CHA perform a limited Phase II subservice </w:t>
      </w:r>
      <w:proofErr w:type="gramStart"/>
      <w:r w:rsidRPr="00D04A00">
        <w:rPr>
          <w:bCs/>
          <w:iCs/>
          <w:spacing w:val="2"/>
          <w:sz w:val="24"/>
          <w:szCs w:val="24"/>
        </w:rPr>
        <w:t>investigation.,</w:t>
      </w:r>
      <w:proofErr w:type="gramEnd"/>
      <w:r w:rsidRPr="00D04A00">
        <w:rPr>
          <w:bCs/>
          <w:iCs/>
          <w:spacing w:val="2"/>
          <w:sz w:val="24"/>
          <w:szCs w:val="24"/>
        </w:rPr>
        <w:t xml:space="preserve"> dated March 29, 2024. A portion of the Property was used as a foundry known as the "Jardine Bronze &amp; Aluminum Foundry, Inc." The foundry operated from around 1944 until approximately 1992. Sampling conducted in May 1979 and in June 1986 indicated there were no significant levels of contamination, and the Property received the no</w:t>
      </w:r>
    </w:p>
    <w:p w14:paraId="7FC365B9"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 </w:t>
      </w:r>
    </w:p>
    <w:p w14:paraId="062274AE" w14:textId="61422EAD"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further action status in December 1990. The limited Phase II investigation revealed that </w:t>
      </w:r>
      <w:proofErr w:type="gramStart"/>
      <w:r w:rsidRPr="00D04A00">
        <w:rPr>
          <w:bCs/>
          <w:iCs/>
          <w:spacing w:val="2"/>
          <w:sz w:val="24"/>
          <w:szCs w:val="24"/>
        </w:rPr>
        <w:t>presence</w:t>
      </w:r>
      <w:proofErr w:type="gramEnd"/>
      <w:r w:rsidRPr="00D04A00">
        <w:rPr>
          <w:bCs/>
          <w:iCs/>
          <w:spacing w:val="2"/>
          <w:sz w:val="24"/>
          <w:szCs w:val="24"/>
        </w:rPr>
        <w:t xml:space="preserve"> of a small </w:t>
      </w:r>
      <w:proofErr w:type="gramStart"/>
      <w:r w:rsidRPr="00D04A00">
        <w:rPr>
          <w:bCs/>
          <w:iCs/>
          <w:spacing w:val="2"/>
          <w:sz w:val="24"/>
          <w:szCs w:val="24"/>
        </w:rPr>
        <w:t>amount</w:t>
      </w:r>
      <w:proofErr w:type="gramEnd"/>
      <w:r w:rsidRPr="00D04A00">
        <w:rPr>
          <w:bCs/>
          <w:iCs/>
          <w:spacing w:val="2"/>
          <w:sz w:val="24"/>
          <w:szCs w:val="24"/>
        </w:rPr>
        <w:t xml:space="preserve"> of metals at the Property with only small exceedances. CHA recommends a plan should be in place to address groundwater that is encountered as it may be impacted by metals contamination. Additionally, community air monitoring should be in place during soil removal or disturbance activities, particularly within the areas where there are known impacts. Finally, appropriate site cover should be placed across all green spaces to prevent the potential human exposure to impacted surface soil post redevelopment. The Applicant's design includes generating a plan and implementing the above precautions during construction, including monitoring and site cover. The Applicant is aware of one capped gas well on the site. </w:t>
      </w:r>
      <w:proofErr w:type="gramStart"/>
      <w:r w:rsidRPr="00D04A00">
        <w:rPr>
          <w:bCs/>
          <w:iCs/>
          <w:spacing w:val="2"/>
          <w:sz w:val="24"/>
          <w:szCs w:val="24"/>
        </w:rPr>
        <w:t>Applicant</w:t>
      </w:r>
      <w:proofErr w:type="gramEnd"/>
      <w:r w:rsidRPr="00D04A00">
        <w:rPr>
          <w:bCs/>
          <w:iCs/>
          <w:spacing w:val="2"/>
          <w:sz w:val="24"/>
          <w:szCs w:val="24"/>
        </w:rPr>
        <w:t xml:space="preserve"> advises that the well was properly decommissioned and is further required to comply with all applicable DEC regulations related to well closure should any further wells be discovered.</w:t>
      </w:r>
    </w:p>
    <w:p w14:paraId="72E2DE19" w14:textId="77777777" w:rsidR="00D04A00" w:rsidRPr="00D04A00" w:rsidRDefault="00D04A00" w:rsidP="00D04A00">
      <w:pPr>
        <w:widowControl/>
        <w:autoSpaceDE/>
        <w:autoSpaceDN/>
        <w:adjustRightInd/>
        <w:rPr>
          <w:bCs/>
          <w:iCs/>
          <w:spacing w:val="2"/>
          <w:sz w:val="24"/>
          <w:szCs w:val="24"/>
        </w:rPr>
      </w:pPr>
    </w:p>
    <w:p w14:paraId="046F4957"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(J)</w:t>
      </w:r>
      <w:r w:rsidRPr="00D04A00">
        <w:rPr>
          <w:bCs/>
          <w:iCs/>
          <w:spacing w:val="2"/>
          <w:sz w:val="24"/>
          <w:szCs w:val="24"/>
        </w:rPr>
        <w:tab/>
        <w:t>FEAF Part 2 - Item 17 a. and b. The project will develop land that is currently vacant. However, the previous use of the land and its current zoning are for industrial use. The proposed development of the land for residential use will result in far fewer negative impacts on neighboring properties compared to any potential industrial use of the Property, which is the only likely alternative for development. Additionally, the project may potentially cause the permanent population of the village to grow by slightly more than 5%. However, the Village has sufficient services to allow for modest growth and residential use is a desirable use in this part of the Village.</w:t>
      </w:r>
    </w:p>
    <w:p w14:paraId="3C5D4395" w14:textId="77777777" w:rsidR="00D04A00" w:rsidRPr="00D04A00" w:rsidRDefault="00D04A00" w:rsidP="00D04A00">
      <w:pPr>
        <w:widowControl/>
        <w:autoSpaceDE/>
        <w:autoSpaceDN/>
        <w:adjustRightInd/>
        <w:rPr>
          <w:bCs/>
          <w:iCs/>
          <w:spacing w:val="2"/>
          <w:sz w:val="24"/>
          <w:szCs w:val="24"/>
        </w:rPr>
      </w:pPr>
    </w:p>
    <w:p w14:paraId="60F66EB6"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(K)</w:t>
      </w:r>
      <w:r w:rsidRPr="00D04A00">
        <w:rPr>
          <w:bCs/>
          <w:iCs/>
          <w:spacing w:val="2"/>
          <w:sz w:val="24"/>
          <w:szCs w:val="24"/>
        </w:rPr>
        <w:tab/>
        <w:t>FEAF Part 2 Item 18 b. The Village has sufficient capacity for this project, The school district has, in recent years experienced a downturn student population, creating the capacity for the students that may come from this development.</w:t>
      </w:r>
    </w:p>
    <w:p w14:paraId="6902362C"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5.</w:t>
      </w:r>
      <w:r w:rsidRPr="00D04A00">
        <w:rPr>
          <w:bCs/>
          <w:iCs/>
          <w:spacing w:val="2"/>
          <w:sz w:val="24"/>
          <w:szCs w:val="24"/>
        </w:rPr>
        <w:tab/>
        <w:t>The Final findings of this Board with respect to SEQRA are as follows:</w:t>
      </w:r>
    </w:p>
    <w:p w14:paraId="14E53212" w14:textId="77777777" w:rsidR="00D04A00" w:rsidRPr="00D04A00" w:rsidRDefault="00D04A00" w:rsidP="00D04A00">
      <w:pPr>
        <w:widowControl/>
        <w:autoSpaceDE/>
        <w:autoSpaceDN/>
        <w:adjustRightInd/>
        <w:rPr>
          <w:bCs/>
          <w:iCs/>
          <w:spacing w:val="2"/>
          <w:sz w:val="24"/>
          <w:szCs w:val="24"/>
        </w:rPr>
      </w:pPr>
    </w:p>
    <w:p w14:paraId="37BE8839"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(A)</w:t>
      </w:r>
      <w:r w:rsidRPr="00D04A00">
        <w:rPr>
          <w:bCs/>
          <w:iCs/>
          <w:spacing w:val="2"/>
          <w:sz w:val="24"/>
          <w:szCs w:val="24"/>
        </w:rPr>
        <w:tab/>
        <w:t>The Action will not result in (</w:t>
      </w:r>
      <w:proofErr w:type="spellStart"/>
      <w:r w:rsidRPr="00D04A00">
        <w:rPr>
          <w:bCs/>
          <w:iCs/>
          <w:spacing w:val="2"/>
          <w:sz w:val="24"/>
          <w:szCs w:val="24"/>
        </w:rPr>
        <w:t>i</w:t>
      </w:r>
      <w:proofErr w:type="spellEnd"/>
      <w:r w:rsidRPr="00D04A00">
        <w:rPr>
          <w:bCs/>
          <w:iCs/>
          <w:spacing w:val="2"/>
          <w:sz w:val="24"/>
          <w:szCs w:val="24"/>
        </w:rPr>
        <w:t xml:space="preserve">) a substantial adverse change in existing air quality; ground or surface water quality or quantity, traffic or noise levels; a substantial increase in solid waste production; or a substantial increase in potential for erosion, flooding, leaching or drainage problems; (ii) the removal or destruction of large quantities of vegetation or fauna; substantial interference with the movement of a resident or migratory fish or wildlife species; impacts on a significant habitat area; substantial adverse impacts on threatened or endangered </w:t>
      </w:r>
      <w:r w:rsidRPr="00D04A00">
        <w:rPr>
          <w:bCs/>
          <w:iCs/>
          <w:spacing w:val="2"/>
          <w:sz w:val="24"/>
          <w:szCs w:val="24"/>
        </w:rPr>
        <w:lastRenderedPageBreak/>
        <w:t>species of animal or plant, or the habitat of such species; or (iii) other significant adverse impacts to natural resources;</w:t>
      </w:r>
    </w:p>
    <w:p w14:paraId="237CC89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 </w:t>
      </w:r>
    </w:p>
    <w:p w14:paraId="05278F6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(B)</w:t>
      </w:r>
      <w:r w:rsidRPr="00D04A00">
        <w:rPr>
          <w:bCs/>
          <w:iCs/>
          <w:spacing w:val="2"/>
          <w:sz w:val="24"/>
          <w:szCs w:val="24"/>
        </w:rPr>
        <w:tab/>
      </w:r>
      <w:proofErr w:type="gramStart"/>
      <w:r w:rsidRPr="00D04A00">
        <w:rPr>
          <w:bCs/>
          <w:iCs/>
          <w:spacing w:val="2"/>
          <w:sz w:val="24"/>
          <w:szCs w:val="24"/>
        </w:rPr>
        <w:t>The Action</w:t>
      </w:r>
      <w:proofErr w:type="gramEnd"/>
      <w:r w:rsidRPr="00D04A00">
        <w:rPr>
          <w:bCs/>
          <w:iCs/>
          <w:spacing w:val="2"/>
          <w:sz w:val="24"/>
          <w:szCs w:val="24"/>
        </w:rPr>
        <w:t xml:space="preserve"> will not affect a critical environmental area as designated pursuant to 6 NYCRR § </w:t>
      </w:r>
      <w:proofErr w:type="gramStart"/>
      <w:r w:rsidRPr="00D04A00">
        <w:rPr>
          <w:bCs/>
          <w:iCs/>
          <w:spacing w:val="2"/>
          <w:sz w:val="24"/>
          <w:szCs w:val="24"/>
        </w:rPr>
        <w:t>617.14(g);</w:t>
      </w:r>
      <w:proofErr w:type="gramEnd"/>
    </w:p>
    <w:p w14:paraId="59B49697" w14:textId="77777777" w:rsidR="00D04A00" w:rsidRPr="00D04A00" w:rsidRDefault="00D04A00" w:rsidP="00D04A00">
      <w:pPr>
        <w:widowControl/>
        <w:autoSpaceDE/>
        <w:autoSpaceDN/>
        <w:adjustRightInd/>
        <w:rPr>
          <w:bCs/>
          <w:iCs/>
          <w:spacing w:val="2"/>
          <w:sz w:val="24"/>
          <w:szCs w:val="24"/>
        </w:rPr>
      </w:pPr>
    </w:p>
    <w:p w14:paraId="0001FF98"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(C)</w:t>
      </w:r>
      <w:r w:rsidRPr="00D04A00">
        <w:rPr>
          <w:bCs/>
          <w:iCs/>
          <w:spacing w:val="2"/>
          <w:sz w:val="24"/>
          <w:szCs w:val="24"/>
        </w:rPr>
        <w:tab/>
      </w:r>
      <w:proofErr w:type="gramStart"/>
      <w:r w:rsidRPr="00D04A00">
        <w:rPr>
          <w:bCs/>
          <w:iCs/>
          <w:spacing w:val="2"/>
          <w:sz w:val="24"/>
          <w:szCs w:val="24"/>
        </w:rPr>
        <w:t>The Action</w:t>
      </w:r>
      <w:proofErr w:type="gramEnd"/>
      <w:r w:rsidRPr="00D04A00">
        <w:rPr>
          <w:bCs/>
          <w:iCs/>
          <w:spacing w:val="2"/>
          <w:sz w:val="24"/>
          <w:szCs w:val="24"/>
        </w:rPr>
        <w:t xml:space="preserve"> will not conflict with the community's current plans or goals as officially approved or </w:t>
      </w:r>
      <w:proofErr w:type="gramStart"/>
      <w:r w:rsidRPr="00D04A00">
        <w:rPr>
          <w:bCs/>
          <w:iCs/>
          <w:spacing w:val="2"/>
          <w:sz w:val="24"/>
          <w:szCs w:val="24"/>
        </w:rPr>
        <w:t>adopted;</w:t>
      </w:r>
      <w:proofErr w:type="gramEnd"/>
    </w:p>
    <w:p w14:paraId="67B70A70" w14:textId="77777777" w:rsidR="00D04A00" w:rsidRPr="00D04A00" w:rsidRDefault="00D04A00" w:rsidP="00D04A00">
      <w:pPr>
        <w:widowControl/>
        <w:autoSpaceDE/>
        <w:autoSpaceDN/>
        <w:adjustRightInd/>
        <w:rPr>
          <w:bCs/>
          <w:iCs/>
          <w:spacing w:val="2"/>
          <w:sz w:val="24"/>
          <w:szCs w:val="24"/>
        </w:rPr>
      </w:pPr>
    </w:p>
    <w:p w14:paraId="74184892"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(D)</w:t>
      </w:r>
      <w:r w:rsidRPr="00D04A00">
        <w:rPr>
          <w:bCs/>
          <w:iCs/>
          <w:spacing w:val="2"/>
          <w:sz w:val="24"/>
          <w:szCs w:val="24"/>
        </w:rPr>
        <w:tab/>
      </w:r>
      <w:proofErr w:type="gramStart"/>
      <w:r w:rsidRPr="00D04A00">
        <w:rPr>
          <w:bCs/>
          <w:iCs/>
          <w:spacing w:val="2"/>
          <w:sz w:val="24"/>
          <w:szCs w:val="24"/>
        </w:rPr>
        <w:t>The Action</w:t>
      </w:r>
      <w:proofErr w:type="gramEnd"/>
      <w:r w:rsidRPr="00D04A00">
        <w:rPr>
          <w:bCs/>
          <w:iCs/>
          <w:spacing w:val="2"/>
          <w:sz w:val="24"/>
          <w:szCs w:val="24"/>
        </w:rPr>
        <w:t xml:space="preserve"> will not result in the impairment of the character or quality of important historical, archeological, architectural, or aesthetic resources or of existing community or neighborhood </w:t>
      </w:r>
      <w:proofErr w:type="gramStart"/>
      <w:r w:rsidRPr="00D04A00">
        <w:rPr>
          <w:bCs/>
          <w:iCs/>
          <w:spacing w:val="2"/>
          <w:sz w:val="24"/>
          <w:szCs w:val="24"/>
        </w:rPr>
        <w:t>character;</w:t>
      </w:r>
      <w:proofErr w:type="gramEnd"/>
    </w:p>
    <w:p w14:paraId="62A50797" w14:textId="77777777" w:rsidR="00D04A00" w:rsidRPr="00D04A00" w:rsidRDefault="00D04A00" w:rsidP="00D04A00">
      <w:pPr>
        <w:widowControl/>
        <w:autoSpaceDE/>
        <w:autoSpaceDN/>
        <w:adjustRightInd/>
        <w:rPr>
          <w:bCs/>
          <w:iCs/>
          <w:spacing w:val="2"/>
          <w:sz w:val="24"/>
          <w:szCs w:val="24"/>
        </w:rPr>
      </w:pPr>
    </w:p>
    <w:p w14:paraId="7021241D"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(E)</w:t>
      </w:r>
      <w:r w:rsidRPr="00D04A00">
        <w:rPr>
          <w:bCs/>
          <w:iCs/>
          <w:spacing w:val="2"/>
          <w:sz w:val="24"/>
          <w:szCs w:val="24"/>
        </w:rPr>
        <w:tab/>
      </w:r>
      <w:proofErr w:type="gramStart"/>
      <w:r w:rsidRPr="00D04A00">
        <w:rPr>
          <w:bCs/>
          <w:iCs/>
          <w:spacing w:val="2"/>
          <w:sz w:val="24"/>
          <w:szCs w:val="24"/>
        </w:rPr>
        <w:t>The Action</w:t>
      </w:r>
      <w:proofErr w:type="gramEnd"/>
      <w:r w:rsidRPr="00D04A00">
        <w:rPr>
          <w:bCs/>
          <w:iCs/>
          <w:spacing w:val="2"/>
          <w:sz w:val="24"/>
          <w:szCs w:val="24"/>
        </w:rPr>
        <w:t xml:space="preserve"> will not result in a major change in the use of either the quantity or type of </w:t>
      </w:r>
      <w:proofErr w:type="gramStart"/>
      <w:r w:rsidRPr="00D04A00">
        <w:rPr>
          <w:bCs/>
          <w:iCs/>
          <w:spacing w:val="2"/>
          <w:sz w:val="24"/>
          <w:szCs w:val="24"/>
        </w:rPr>
        <w:t>energy;</w:t>
      </w:r>
      <w:proofErr w:type="gramEnd"/>
    </w:p>
    <w:p w14:paraId="42735AD4" w14:textId="77777777" w:rsidR="00D04A00" w:rsidRPr="00D04A00" w:rsidRDefault="00D04A00" w:rsidP="00D04A00">
      <w:pPr>
        <w:widowControl/>
        <w:autoSpaceDE/>
        <w:autoSpaceDN/>
        <w:adjustRightInd/>
        <w:rPr>
          <w:bCs/>
          <w:iCs/>
          <w:spacing w:val="2"/>
          <w:sz w:val="24"/>
          <w:szCs w:val="24"/>
        </w:rPr>
      </w:pPr>
    </w:p>
    <w:p w14:paraId="5E705F3D"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(F)</w:t>
      </w:r>
      <w:r w:rsidRPr="00D04A00">
        <w:rPr>
          <w:bCs/>
          <w:iCs/>
          <w:spacing w:val="2"/>
          <w:sz w:val="24"/>
          <w:szCs w:val="24"/>
        </w:rPr>
        <w:tab/>
      </w:r>
      <w:proofErr w:type="gramStart"/>
      <w:r w:rsidRPr="00D04A00">
        <w:rPr>
          <w:bCs/>
          <w:iCs/>
          <w:spacing w:val="2"/>
          <w:sz w:val="24"/>
          <w:szCs w:val="24"/>
        </w:rPr>
        <w:t>The Action</w:t>
      </w:r>
      <w:proofErr w:type="gramEnd"/>
      <w:r w:rsidRPr="00D04A00">
        <w:rPr>
          <w:bCs/>
          <w:iCs/>
          <w:spacing w:val="2"/>
          <w:sz w:val="24"/>
          <w:szCs w:val="24"/>
        </w:rPr>
        <w:t xml:space="preserve"> will not result in the creation of a hazard to human </w:t>
      </w:r>
      <w:proofErr w:type="gramStart"/>
      <w:r w:rsidRPr="00D04A00">
        <w:rPr>
          <w:bCs/>
          <w:iCs/>
          <w:spacing w:val="2"/>
          <w:sz w:val="24"/>
          <w:szCs w:val="24"/>
        </w:rPr>
        <w:t>health;</w:t>
      </w:r>
      <w:proofErr w:type="gramEnd"/>
    </w:p>
    <w:p w14:paraId="18029A67" w14:textId="77777777" w:rsidR="00D04A00" w:rsidRPr="00D04A00" w:rsidRDefault="00D04A00" w:rsidP="00D04A00">
      <w:pPr>
        <w:widowControl/>
        <w:autoSpaceDE/>
        <w:autoSpaceDN/>
        <w:adjustRightInd/>
        <w:rPr>
          <w:bCs/>
          <w:iCs/>
          <w:spacing w:val="2"/>
          <w:sz w:val="24"/>
          <w:szCs w:val="24"/>
        </w:rPr>
      </w:pPr>
    </w:p>
    <w:p w14:paraId="36EA22D5"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(G)</w:t>
      </w:r>
      <w:r w:rsidRPr="00D04A00">
        <w:rPr>
          <w:bCs/>
          <w:iCs/>
          <w:spacing w:val="2"/>
          <w:sz w:val="24"/>
          <w:szCs w:val="24"/>
        </w:rPr>
        <w:tab/>
        <w:t xml:space="preserve">The Action will not result in a substantial change in the use, or intensity of use, of land including architectural, open space or recreational resources, or in its capacity to support existing </w:t>
      </w:r>
      <w:proofErr w:type="gramStart"/>
      <w:r w:rsidRPr="00D04A00">
        <w:rPr>
          <w:bCs/>
          <w:iCs/>
          <w:spacing w:val="2"/>
          <w:sz w:val="24"/>
          <w:szCs w:val="24"/>
        </w:rPr>
        <w:t>uses;</w:t>
      </w:r>
      <w:proofErr w:type="gramEnd"/>
    </w:p>
    <w:p w14:paraId="4F470ECF" w14:textId="77777777" w:rsidR="00D04A00" w:rsidRPr="00D04A00" w:rsidRDefault="00D04A00" w:rsidP="00D04A00">
      <w:pPr>
        <w:widowControl/>
        <w:autoSpaceDE/>
        <w:autoSpaceDN/>
        <w:adjustRightInd/>
        <w:rPr>
          <w:bCs/>
          <w:iCs/>
          <w:spacing w:val="2"/>
          <w:sz w:val="24"/>
          <w:szCs w:val="24"/>
        </w:rPr>
      </w:pPr>
    </w:p>
    <w:p w14:paraId="740FF556" w14:textId="299087CF" w:rsidR="00D04A00" w:rsidRPr="00D04A00" w:rsidRDefault="00D04A00" w:rsidP="00D04A00">
      <w:pPr>
        <w:widowControl/>
        <w:autoSpaceDE/>
        <w:autoSpaceDN/>
        <w:adjustRightInd/>
        <w:rPr>
          <w:bCs/>
          <w:iCs/>
          <w:spacing w:val="2"/>
          <w:sz w:val="24"/>
          <w:szCs w:val="24"/>
        </w:rPr>
      </w:pPr>
      <w:r w:rsidRPr="00D04A00">
        <w:rPr>
          <w:bCs/>
          <w:iCs/>
          <w:spacing w:val="2"/>
          <w:sz w:val="24"/>
          <w:szCs w:val="24"/>
        </w:rPr>
        <w:t>(H)</w:t>
      </w:r>
      <w:r w:rsidRPr="00D04A00">
        <w:rPr>
          <w:bCs/>
          <w:iCs/>
          <w:spacing w:val="2"/>
          <w:sz w:val="24"/>
          <w:szCs w:val="24"/>
        </w:rPr>
        <w:tab/>
        <w:t xml:space="preserve">Action will not result in encouraging or </w:t>
      </w:r>
      <w:proofErr w:type="gramStart"/>
      <w:r w:rsidRPr="00D04A00">
        <w:rPr>
          <w:bCs/>
          <w:iCs/>
          <w:spacing w:val="2"/>
          <w:sz w:val="24"/>
          <w:szCs w:val="24"/>
        </w:rPr>
        <w:t>attracting of</w:t>
      </w:r>
      <w:proofErr w:type="gramEnd"/>
      <w:r w:rsidRPr="00D04A00">
        <w:rPr>
          <w:bCs/>
          <w:iCs/>
          <w:spacing w:val="2"/>
          <w:sz w:val="24"/>
          <w:szCs w:val="24"/>
        </w:rPr>
        <w:t xml:space="preserve"> </w:t>
      </w:r>
      <w:proofErr w:type="gramStart"/>
      <w:r w:rsidRPr="00D04A00">
        <w:rPr>
          <w:bCs/>
          <w:iCs/>
          <w:spacing w:val="2"/>
          <w:sz w:val="24"/>
          <w:szCs w:val="24"/>
        </w:rPr>
        <w:t>a large number of</w:t>
      </w:r>
      <w:proofErr w:type="gramEnd"/>
      <w:r w:rsidRPr="00D04A00">
        <w:rPr>
          <w:bCs/>
          <w:iCs/>
          <w:spacing w:val="2"/>
          <w:sz w:val="24"/>
          <w:szCs w:val="24"/>
        </w:rPr>
        <w:t xml:space="preserve"> people to a place or places for more than a few days, compared to the number of people who would come to such place absent the action.</w:t>
      </w:r>
    </w:p>
    <w:p w14:paraId="2343D1CA" w14:textId="77777777" w:rsidR="00D04A00" w:rsidRPr="00D04A00" w:rsidRDefault="00D04A00" w:rsidP="00D04A00">
      <w:pPr>
        <w:widowControl/>
        <w:autoSpaceDE/>
        <w:autoSpaceDN/>
        <w:adjustRightInd/>
        <w:rPr>
          <w:bCs/>
          <w:iCs/>
          <w:spacing w:val="2"/>
          <w:sz w:val="24"/>
          <w:szCs w:val="24"/>
        </w:rPr>
      </w:pPr>
    </w:p>
    <w:p w14:paraId="7BD3FB6F" w14:textId="302FF2D4" w:rsidR="00D04A00" w:rsidRPr="00D04A00" w:rsidRDefault="00D04A00" w:rsidP="00D04A00">
      <w:pPr>
        <w:widowControl/>
        <w:autoSpaceDE/>
        <w:autoSpaceDN/>
        <w:adjustRightInd/>
        <w:rPr>
          <w:bCs/>
          <w:iCs/>
          <w:spacing w:val="2"/>
          <w:sz w:val="24"/>
          <w:szCs w:val="24"/>
        </w:rPr>
      </w:pPr>
      <w:r w:rsidRPr="00D04A00">
        <w:rPr>
          <w:bCs/>
          <w:iCs/>
          <w:spacing w:val="2"/>
          <w:sz w:val="24"/>
          <w:szCs w:val="24"/>
        </w:rPr>
        <w:t>(I)</w:t>
      </w:r>
      <w:r w:rsidRPr="00D04A00">
        <w:rPr>
          <w:bCs/>
          <w:iCs/>
          <w:spacing w:val="2"/>
          <w:sz w:val="24"/>
          <w:szCs w:val="24"/>
        </w:rPr>
        <w:tab/>
      </w:r>
      <w:proofErr w:type="gramStart"/>
      <w:r>
        <w:rPr>
          <w:bCs/>
          <w:iCs/>
          <w:spacing w:val="2"/>
          <w:sz w:val="24"/>
          <w:szCs w:val="24"/>
        </w:rPr>
        <w:t xml:space="preserve">The </w:t>
      </w:r>
      <w:r w:rsidRPr="00D04A00">
        <w:rPr>
          <w:bCs/>
          <w:iCs/>
          <w:spacing w:val="2"/>
          <w:sz w:val="24"/>
          <w:szCs w:val="24"/>
        </w:rPr>
        <w:t>Action</w:t>
      </w:r>
      <w:proofErr w:type="gramEnd"/>
      <w:r w:rsidRPr="00D04A00">
        <w:rPr>
          <w:bCs/>
          <w:iCs/>
          <w:spacing w:val="2"/>
          <w:sz w:val="24"/>
          <w:szCs w:val="24"/>
        </w:rPr>
        <w:t xml:space="preserve"> will not result in the creation of a material demand for other actions that would result in one or more of the above consequences.</w:t>
      </w:r>
    </w:p>
    <w:p w14:paraId="0E61D55A" w14:textId="77777777" w:rsidR="00D04A00" w:rsidRPr="00D04A00" w:rsidRDefault="00D04A00" w:rsidP="00D04A00">
      <w:pPr>
        <w:widowControl/>
        <w:autoSpaceDE/>
        <w:autoSpaceDN/>
        <w:adjustRightInd/>
        <w:rPr>
          <w:bCs/>
          <w:iCs/>
          <w:spacing w:val="2"/>
          <w:sz w:val="24"/>
          <w:szCs w:val="24"/>
        </w:rPr>
      </w:pPr>
    </w:p>
    <w:p w14:paraId="5A429345"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(J)</w:t>
      </w:r>
      <w:r w:rsidRPr="00D04A00">
        <w:rPr>
          <w:bCs/>
          <w:iCs/>
          <w:spacing w:val="2"/>
          <w:sz w:val="24"/>
          <w:szCs w:val="24"/>
        </w:rPr>
        <w:tab/>
        <w:t>The Action will not result in changes in two or more elements of the environment, no one of which has a significant impact on the environment, but when considered together result in a substantial adverse impact on the environment; and</w:t>
      </w:r>
    </w:p>
    <w:p w14:paraId="47189309" w14:textId="77777777" w:rsidR="00D04A00" w:rsidRPr="00D04A00" w:rsidRDefault="00D04A00" w:rsidP="00D04A00">
      <w:pPr>
        <w:widowControl/>
        <w:autoSpaceDE/>
        <w:autoSpaceDN/>
        <w:adjustRightInd/>
        <w:rPr>
          <w:bCs/>
          <w:iCs/>
          <w:spacing w:val="2"/>
          <w:sz w:val="24"/>
          <w:szCs w:val="24"/>
        </w:rPr>
      </w:pPr>
    </w:p>
    <w:p w14:paraId="14CD995D"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(K)</w:t>
      </w:r>
      <w:r w:rsidRPr="00D04A00">
        <w:rPr>
          <w:bCs/>
          <w:iCs/>
          <w:spacing w:val="2"/>
          <w:sz w:val="24"/>
          <w:szCs w:val="24"/>
        </w:rPr>
        <w:tab/>
        <w:t>The Action will not result in two or more related actions undertaken, funded or approved by an agency, none of which has or would have a significant impact on the environment, but when considered cumulatively would meet one or more of the criteria in 6 NYCRR § 617</w:t>
      </w:r>
      <w:proofErr w:type="gramStart"/>
      <w:r w:rsidRPr="00D04A00">
        <w:rPr>
          <w:bCs/>
          <w:iCs/>
          <w:spacing w:val="2"/>
          <w:sz w:val="24"/>
          <w:szCs w:val="24"/>
        </w:rPr>
        <w:t>.?(</w:t>
      </w:r>
      <w:proofErr w:type="gramEnd"/>
      <w:r w:rsidRPr="00D04A00">
        <w:rPr>
          <w:bCs/>
          <w:iCs/>
          <w:spacing w:val="2"/>
          <w:sz w:val="24"/>
          <w:szCs w:val="24"/>
        </w:rPr>
        <w:t>c).</w:t>
      </w:r>
    </w:p>
    <w:p w14:paraId="2E813723" w14:textId="77777777" w:rsidR="00D04A00" w:rsidRPr="00D04A00" w:rsidRDefault="00D04A00" w:rsidP="00D04A00">
      <w:pPr>
        <w:widowControl/>
        <w:autoSpaceDE/>
        <w:autoSpaceDN/>
        <w:adjustRightInd/>
        <w:rPr>
          <w:bCs/>
          <w:iCs/>
          <w:spacing w:val="2"/>
          <w:sz w:val="24"/>
          <w:szCs w:val="24"/>
        </w:rPr>
      </w:pPr>
    </w:p>
    <w:p w14:paraId="2E2D15F4"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6.</w:t>
      </w:r>
      <w:r w:rsidRPr="00D04A00">
        <w:rPr>
          <w:bCs/>
          <w:iCs/>
          <w:spacing w:val="2"/>
          <w:sz w:val="24"/>
          <w:szCs w:val="24"/>
        </w:rPr>
        <w:tab/>
        <w:t>The Findings and Declaration herein do not include or imply that final POD acceptance and approval by the Village Board, nor Site plan approval or Subdivision approval by the Planning Board. All requirements of the Village Code and any other involved or interested agencies will be further undertaken and determined in the POD, Site Plan Review and Subdivision processes.</w:t>
      </w:r>
    </w:p>
    <w:p w14:paraId="12AFFC1F" w14:textId="77777777" w:rsidR="00D04A00" w:rsidRPr="00D04A00" w:rsidRDefault="00D04A00" w:rsidP="00D04A00">
      <w:pPr>
        <w:widowControl/>
        <w:autoSpaceDE/>
        <w:autoSpaceDN/>
        <w:adjustRightInd/>
        <w:rPr>
          <w:bCs/>
          <w:iCs/>
          <w:spacing w:val="2"/>
          <w:sz w:val="24"/>
          <w:szCs w:val="24"/>
        </w:rPr>
      </w:pPr>
    </w:p>
    <w:p w14:paraId="0467F9DF"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7.</w:t>
      </w:r>
      <w:r w:rsidRPr="00D04A00">
        <w:rPr>
          <w:bCs/>
          <w:iCs/>
          <w:spacing w:val="2"/>
          <w:sz w:val="24"/>
          <w:szCs w:val="24"/>
        </w:rPr>
        <w:tab/>
        <w:t>The information available concerning the Action was sufficient for the Board to make its determination.</w:t>
      </w:r>
    </w:p>
    <w:p w14:paraId="23E993DD"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lastRenderedPageBreak/>
        <w:t xml:space="preserve"> </w:t>
      </w:r>
    </w:p>
    <w:p w14:paraId="52DA536F"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8.</w:t>
      </w:r>
      <w:r w:rsidRPr="00D04A00">
        <w:rPr>
          <w:bCs/>
          <w:iCs/>
          <w:spacing w:val="2"/>
          <w:sz w:val="24"/>
          <w:szCs w:val="24"/>
        </w:rPr>
        <w:tab/>
        <w:t>The Board hereby approves and adopts the FEAF for the Action (Parts 1, 2, and 3), issues a Negative Declaration, and will not require the preparation of an environmental impact statement for the Action.</w:t>
      </w:r>
    </w:p>
    <w:p w14:paraId="1CBFB479" w14:textId="77777777" w:rsidR="00D04A00" w:rsidRPr="00D04A00" w:rsidRDefault="00D04A00" w:rsidP="00D04A00">
      <w:pPr>
        <w:widowControl/>
        <w:autoSpaceDE/>
        <w:autoSpaceDN/>
        <w:adjustRightInd/>
        <w:rPr>
          <w:bCs/>
          <w:iCs/>
          <w:spacing w:val="2"/>
          <w:sz w:val="24"/>
          <w:szCs w:val="24"/>
        </w:rPr>
      </w:pPr>
    </w:p>
    <w:p w14:paraId="017B560F" w14:textId="64C9650B" w:rsidR="00D04A00" w:rsidRPr="00D04A00" w:rsidRDefault="00D04A00" w:rsidP="00D04A00">
      <w:pPr>
        <w:widowControl/>
        <w:autoSpaceDE/>
        <w:autoSpaceDN/>
        <w:adjustRightInd/>
        <w:rPr>
          <w:bCs/>
          <w:iCs/>
          <w:spacing w:val="2"/>
          <w:sz w:val="24"/>
          <w:szCs w:val="24"/>
        </w:rPr>
      </w:pPr>
      <w:r w:rsidRPr="00D04A00">
        <w:rPr>
          <w:bCs/>
          <w:iCs/>
          <w:spacing w:val="2"/>
          <w:sz w:val="24"/>
          <w:szCs w:val="24"/>
        </w:rPr>
        <w:t>9.</w:t>
      </w:r>
      <w:r w:rsidRPr="00D04A00">
        <w:rPr>
          <w:bCs/>
          <w:iCs/>
          <w:spacing w:val="2"/>
          <w:sz w:val="24"/>
          <w:szCs w:val="24"/>
        </w:rPr>
        <w:tab/>
        <w:t>The Board hereby directs the Chairperson to execute the FEAF and further authorizes that any filing(s) and publication required by the law of the Negative Declaration, including publishing notice of the Negative Declaration in the Environmental Notice Bulletin be made, including such other steps as may be necessary to carry out this Resolution.</w:t>
      </w:r>
    </w:p>
    <w:p w14:paraId="73A13797" w14:textId="77777777" w:rsidR="00D04A00" w:rsidRPr="00D04A00" w:rsidRDefault="00D04A00" w:rsidP="00D04A00">
      <w:pPr>
        <w:widowControl/>
        <w:autoSpaceDE/>
        <w:autoSpaceDN/>
        <w:adjustRightInd/>
        <w:rPr>
          <w:bCs/>
          <w:iCs/>
          <w:spacing w:val="2"/>
          <w:sz w:val="24"/>
          <w:szCs w:val="24"/>
        </w:rPr>
      </w:pPr>
    </w:p>
    <w:p w14:paraId="0ADE9A44" w14:textId="77777777" w:rsidR="00D04A00" w:rsidRPr="00D04A00" w:rsidRDefault="00D04A00" w:rsidP="00D04A00">
      <w:pPr>
        <w:widowControl/>
        <w:autoSpaceDE/>
        <w:autoSpaceDN/>
        <w:adjustRightInd/>
        <w:rPr>
          <w:bCs/>
          <w:iCs/>
          <w:spacing w:val="2"/>
          <w:sz w:val="24"/>
          <w:szCs w:val="24"/>
        </w:rPr>
      </w:pPr>
    </w:p>
    <w:p w14:paraId="18D0CBD7" w14:textId="77777777" w:rsidR="00D04A00" w:rsidRPr="00D04A00" w:rsidRDefault="00D04A00" w:rsidP="00D04A00">
      <w:pPr>
        <w:widowControl/>
        <w:autoSpaceDE/>
        <w:autoSpaceDN/>
        <w:adjustRightInd/>
        <w:rPr>
          <w:bCs/>
          <w:iCs/>
          <w:spacing w:val="2"/>
          <w:sz w:val="24"/>
          <w:szCs w:val="24"/>
        </w:rPr>
      </w:pPr>
      <w:r w:rsidRPr="00D04A00">
        <w:rPr>
          <w:bCs/>
          <w:iCs/>
          <w:spacing w:val="2"/>
          <w:sz w:val="24"/>
          <w:szCs w:val="24"/>
        </w:rPr>
        <w:t>10.</w:t>
      </w:r>
      <w:r w:rsidRPr="00D04A00">
        <w:rPr>
          <w:bCs/>
          <w:iCs/>
          <w:spacing w:val="2"/>
          <w:sz w:val="24"/>
          <w:szCs w:val="24"/>
        </w:rPr>
        <w:tab/>
        <w:t>This Resolution shall take effect immediately.</w:t>
      </w:r>
    </w:p>
    <w:p w14:paraId="1D28C63B" w14:textId="77777777" w:rsidR="00D04A00" w:rsidRPr="00D04A00" w:rsidRDefault="00D04A00" w:rsidP="00D04A00">
      <w:pPr>
        <w:widowControl/>
        <w:autoSpaceDE/>
        <w:autoSpaceDN/>
        <w:adjustRightInd/>
        <w:rPr>
          <w:bCs/>
          <w:iCs/>
          <w:spacing w:val="2"/>
          <w:sz w:val="24"/>
          <w:szCs w:val="24"/>
        </w:rPr>
      </w:pPr>
    </w:p>
    <w:p w14:paraId="40499814" w14:textId="477CFF8E" w:rsidR="00D04A00" w:rsidRPr="00D04A00" w:rsidRDefault="00D04A00" w:rsidP="00D04A00">
      <w:pPr>
        <w:widowControl/>
        <w:autoSpaceDE/>
        <w:autoSpaceDN/>
        <w:adjustRightInd/>
        <w:rPr>
          <w:bCs/>
          <w:iCs/>
          <w:spacing w:val="2"/>
          <w:sz w:val="24"/>
          <w:szCs w:val="24"/>
        </w:rPr>
      </w:pPr>
      <w:r w:rsidRPr="00D04A00">
        <w:rPr>
          <w:bCs/>
          <w:iCs/>
          <w:spacing w:val="2"/>
          <w:sz w:val="24"/>
          <w:szCs w:val="24"/>
        </w:rPr>
        <w:t xml:space="preserve">The adoption of the foregoing </w:t>
      </w:r>
      <w:proofErr w:type="gramStart"/>
      <w:r w:rsidRPr="00D04A00">
        <w:rPr>
          <w:bCs/>
          <w:iCs/>
          <w:spacing w:val="2"/>
          <w:sz w:val="24"/>
          <w:szCs w:val="24"/>
        </w:rPr>
        <w:t>Resolution  was</w:t>
      </w:r>
      <w:proofErr w:type="gramEnd"/>
      <w:r w:rsidRPr="00D04A00">
        <w:rPr>
          <w:bCs/>
          <w:iCs/>
          <w:spacing w:val="2"/>
          <w:sz w:val="24"/>
          <w:szCs w:val="24"/>
        </w:rPr>
        <w:t xml:space="preserve"> moved by </w:t>
      </w:r>
      <w:r>
        <w:rPr>
          <w:bCs/>
          <w:iCs/>
          <w:spacing w:val="2"/>
          <w:sz w:val="24"/>
          <w:szCs w:val="24"/>
        </w:rPr>
        <w:t xml:space="preserve">Chris Greer </w:t>
      </w:r>
      <w:r w:rsidRPr="00D04A00">
        <w:rPr>
          <w:bCs/>
          <w:iCs/>
          <w:spacing w:val="2"/>
          <w:sz w:val="24"/>
          <w:szCs w:val="24"/>
        </w:rPr>
        <w:t xml:space="preserve">seconded by </w:t>
      </w:r>
      <w:r>
        <w:rPr>
          <w:bCs/>
          <w:iCs/>
          <w:spacing w:val="2"/>
          <w:sz w:val="24"/>
          <w:szCs w:val="24"/>
        </w:rPr>
        <w:t>Johanna Bock</w:t>
      </w:r>
      <w:r w:rsidRPr="00D04A00">
        <w:rPr>
          <w:bCs/>
          <w:iCs/>
          <w:spacing w:val="2"/>
          <w:sz w:val="24"/>
          <w:szCs w:val="24"/>
        </w:rPr>
        <w:t>, and duly put to vote, which resulted as follows:</w:t>
      </w:r>
    </w:p>
    <w:p w14:paraId="625C1E84" w14:textId="77777777" w:rsidR="00D04A00" w:rsidRPr="00D04A00" w:rsidRDefault="00D04A00" w:rsidP="00D04A00">
      <w:pPr>
        <w:widowControl/>
        <w:autoSpaceDE/>
        <w:autoSpaceDN/>
        <w:adjustRightInd/>
        <w:rPr>
          <w:bCs/>
          <w:iCs/>
          <w:spacing w:val="2"/>
          <w:sz w:val="24"/>
          <w:szCs w:val="24"/>
        </w:rPr>
      </w:pPr>
    </w:p>
    <w:p w14:paraId="2C07904B" w14:textId="5AF3BD6C" w:rsidR="00D04A00" w:rsidRPr="00D04A00" w:rsidRDefault="00D04A00" w:rsidP="00D04A00">
      <w:pPr>
        <w:widowControl/>
        <w:autoSpaceDE/>
        <w:autoSpaceDN/>
        <w:adjustRightInd/>
        <w:rPr>
          <w:bCs/>
          <w:iCs/>
          <w:spacing w:val="2"/>
          <w:sz w:val="24"/>
          <w:szCs w:val="24"/>
        </w:rPr>
      </w:pPr>
      <w:r w:rsidRPr="00D04A00">
        <w:rPr>
          <w:bCs/>
          <w:iCs/>
          <w:spacing w:val="2"/>
          <w:sz w:val="24"/>
          <w:szCs w:val="24"/>
        </w:rPr>
        <w:t>The resolution for a Negative SEQRA Declaration was thereupon declared duly adopted.</w:t>
      </w:r>
    </w:p>
    <w:p w14:paraId="3AEC1775" w14:textId="62E9EF64" w:rsidR="00D04A00" w:rsidRDefault="00D04A00" w:rsidP="000C5221">
      <w:pPr>
        <w:widowControl/>
        <w:autoSpaceDE/>
        <w:autoSpaceDN/>
        <w:adjustRightInd/>
        <w:rPr>
          <w:b/>
          <w:iCs/>
          <w:spacing w:val="2"/>
          <w:sz w:val="24"/>
          <w:szCs w:val="24"/>
        </w:rPr>
      </w:pPr>
    </w:p>
    <w:p w14:paraId="7582E0AB" w14:textId="7584A384" w:rsidR="00066FAA" w:rsidRPr="004573EC" w:rsidRDefault="00066FAA" w:rsidP="00066FAA">
      <w:pPr>
        <w:rPr>
          <w:sz w:val="24"/>
          <w:szCs w:val="24"/>
        </w:rPr>
      </w:pPr>
      <w:r w:rsidRPr="00C25471">
        <w:rPr>
          <w:rFonts w:eastAsia="Aptos"/>
          <w:sz w:val="24"/>
          <w:szCs w:val="24"/>
          <w14:ligatures w14:val="standardContextual"/>
        </w:rPr>
        <w:t xml:space="preserve">Motion made by </w:t>
      </w:r>
      <w:r w:rsidR="00D04A00">
        <w:rPr>
          <w:rFonts w:eastAsia="Aptos"/>
          <w:sz w:val="24"/>
          <w:szCs w:val="24"/>
          <w14:ligatures w14:val="standardContextual"/>
        </w:rPr>
        <w:t>Chris Greer</w:t>
      </w:r>
      <w:r w:rsidR="009A4BCF" w:rsidRPr="00C25471">
        <w:rPr>
          <w:rFonts w:eastAsia="Aptos"/>
          <w:sz w:val="24"/>
          <w:szCs w:val="24"/>
          <w14:ligatures w14:val="standardContextual"/>
        </w:rPr>
        <w:t xml:space="preserve"> </w:t>
      </w:r>
      <w:r w:rsidRPr="00C25471">
        <w:rPr>
          <w:rFonts w:eastAsia="Aptos"/>
          <w:sz w:val="24"/>
          <w:szCs w:val="24"/>
          <w14:ligatures w14:val="standardContextual"/>
        </w:rPr>
        <w:t xml:space="preserve">and seconded by </w:t>
      </w:r>
      <w:r w:rsidR="00D04A00">
        <w:rPr>
          <w:rFonts w:eastAsia="Aptos"/>
          <w:sz w:val="24"/>
          <w:szCs w:val="24"/>
          <w14:ligatures w14:val="standardContextual"/>
        </w:rPr>
        <w:t>Johanna Bock</w:t>
      </w:r>
      <w:r w:rsidRPr="00C25471">
        <w:rPr>
          <w:rFonts w:eastAsia="Aptos"/>
          <w:sz w:val="24"/>
          <w:szCs w:val="24"/>
          <w14:ligatures w14:val="standardContextual"/>
        </w:rPr>
        <w:t xml:space="preserve"> to adjourn meeting at </w:t>
      </w:r>
      <w:r w:rsidR="00D04A00">
        <w:rPr>
          <w:rFonts w:eastAsia="Aptos"/>
          <w:sz w:val="24"/>
          <w:szCs w:val="24"/>
          <w14:ligatures w14:val="standardContextual"/>
        </w:rPr>
        <w:t>8:22</w:t>
      </w:r>
      <w:r w:rsidR="006C7A22">
        <w:rPr>
          <w:rFonts w:eastAsia="Aptos"/>
          <w:sz w:val="24"/>
          <w:szCs w:val="24"/>
          <w14:ligatures w14:val="standardContextual"/>
        </w:rPr>
        <w:t xml:space="preserve"> PM</w:t>
      </w:r>
      <w:r w:rsidRPr="00C25471">
        <w:rPr>
          <w:rFonts w:eastAsia="Aptos"/>
          <w:sz w:val="24"/>
          <w:szCs w:val="24"/>
          <w14:ligatures w14:val="standardContextual"/>
        </w:rPr>
        <w:t xml:space="preserve"> Motion carried.</w:t>
      </w:r>
      <w:r w:rsidR="001B3C3F" w:rsidRPr="00C25471">
        <w:rPr>
          <w:rFonts w:eastAsia="Aptos"/>
          <w:sz w:val="24"/>
          <w:szCs w:val="24"/>
          <w14:ligatures w14:val="standardContextual"/>
        </w:rPr>
        <w:t xml:space="preserve"> Unanimously </w:t>
      </w:r>
      <w:r w:rsidR="00DF1221" w:rsidRPr="00C25471">
        <w:rPr>
          <w:rFonts w:eastAsia="Aptos"/>
          <w:sz w:val="24"/>
          <w:szCs w:val="24"/>
          <w14:ligatures w14:val="standardContextual"/>
        </w:rPr>
        <w:t>approved.</w:t>
      </w:r>
    </w:p>
    <w:p w14:paraId="2EBD12D6" w14:textId="77777777" w:rsidR="00066FAA" w:rsidRPr="00317EDF" w:rsidRDefault="00066FAA" w:rsidP="00F11645">
      <w:pPr>
        <w:rPr>
          <w:rFonts w:ascii="Aptos" w:eastAsia="Aptos" w:hAnsi="Aptos" w:cs="Aptos"/>
          <w:sz w:val="28"/>
          <w:szCs w:val="28"/>
          <w14:ligatures w14:val="standardContextual"/>
        </w:rPr>
      </w:pPr>
    </w:p>
    <w:p w14:paraId="3F81E6C4" w14:textId="6BA60F37" w:rsidR="00E4581E" w:rsidRPr="00317EDF" w:rsidRDefault="00E4581E" w:rsidP="00F11645">
      <w:pPr>
        <w:rPr>
          <w:rFonts w:ascii="Aptos" w:eastAsia="Aptos" w:hAnsi="Aptos" w:cs="Aptos"/>
          <w:sz w:val="28"/>
          <w:szCs w:val="28"/>
          <w14:ligatures w14:val="standardContextual"/>
        </w:rPr>
      </w:pPr>
      <w:r w:rsidRPr="00317EDF">
        <w:rPr>
          <w:rFonts w:ascii="Aptos" w:eastAsia="Aptos" w:hAnsi="Aptos" w:cs="Aptos"/>
          <w:sz w:val="28"/>
          <w:szCs w:val="28"/>
          <w14:ligatures w14:val="standardContextual"/>
        </w:rPr>
        <w:t>Respectfully submitted</w:t>
      </w:r>
      <w:r w:rsidR="00317EDF">
        <w:rPr>
          <w:rFonts w:ascii="Aptos" w:eastAsia="Aptos" w:hAnsi="Aptos" w:cs="Aptos"/>
          <w:sz w:val="28"/>
          <w:szCs w:val="28"/>
          <w14:ligatures w14:val="standardContextual"/>
        </w:rPr>
        <w:t>,</w:t>
      </w:r>
    </w:p>
    <w:p w14:paraId="4FE11A52" w14:textId="77777777" w:rsidR="00070C5C" w:rsidRDefault="00070C5C" w:rsidP="00F11645">
      <w:pPr>
        <w:rPr>
          <w:rFonts w:ascii="Cochocib Script Latin Pro" w:eastAsia="Aptos" w:hAnsi="Cochocib Script Latin Pro" w:cs="Aptos"/>
          <w:sz w:val="32"/>
          <w:szCs w:val="32"/>
          <w14:ligatures w14:val="standardContextual"/>
        </w:rPr>
      </w:pPr>
    </w:p>
    <w:p w14:paraId="1E4C8719" w14:textId="0E50E154" w:rsidR="00E4581E" w:rsidRDefault="00E4581E" w:rsidP="00F11645">
      <w:pPr>
        <w:rPr>
          <w:rFonts w:ascii="Cochocib Script Latin Pro" w:eastAsia="Aptos" w:hAnsi="Cochocib Script Latin Pro" w:cs="Aptos"/>
          <w:sz w:val="32"/>
          <w:szCs w:val="32"/>
          <w14:ligatures w14:val="standardContextual"/>
        </w:rPr>
      </w:pPr>
      <w:r w:rsidRPr="00E4581E">
        <w:rPr>
          <w:rFonts w:ascii="Cochocib Script Latin Pro" w:eastAsia="Aptos" w:hAnsi="Cochocib Script Latin Pro" w:cs="Aptos"/>
          <w:sz w:val="32"/>
          <w:szCs w:val="32"/>
          <w14:ligatures w14:val="standardContextual"/>
        </w:rPr>
        <w:t>Michelle Hamilton</w:t>
      </w:r>
    </w:p>
    <w:p w14:paraId="12F63D3A" w14:textId="4A32EA1F" w:rsidR="00E4581E" w:rsidRPr="00E4581E" w:rsidRDefault="00E4581E" w:rsidP="00F11645">
      <w:pPr>
        <w:rPr>
          <w:rFonts w:ascii="Cochocib Script Latin Pro" w:eastAsia="Aptos" w:hAnsi="Cochocib Script Latin Pro" w:cs="Aptos"/>
          <w:sz w:val="32"/>
          <w:szCs w:val="32"/>
          <w14:ligatures w14:val="standardContextual"/>
        </w:rPr>
      </w:pPr>
      <w:r>
        <w:rPr>
          <w:rFonts w:ascii="Aptos" w:eastAsia="Aptos" w:hAnsi="Aptos" w:cs="Aptos"/>
          <w:sz w:val="32"/>
          <w:szCs w:val="32"/>
          <w14:ligatures w14:val="standardContextual"/>
        </w:rPr>
        <w:t>Michelle Hamilton</w:t>
      </w:r>
    </w:p>
    <w:p w14:paraId="785A2F60" w14:textId="6D560226" w:rsidR="000F558F" w:rsidRPr="00086839" w:rsidRDefault="00E4581E">
      <w:pPr>
        <w:rPr>
          <w:bCs/>
          <w:sz w:val="28"/>
          <w:szCs w:val="28"/>
        </w:rPr>
      </w:pPr>
      <w:r>
        <w:rPr>
          <w:bCs/>
          <w:sz w:val="28"/>
          <w:szCs w:val="28"/>
        </w:rPr>
        <w:t>Planning Board Secretary</w:t>
      </w:r>
    </w:p>
    <w:p w14:paraId="6582C7B8" w14:textId="18DBB561" w:rsidR="00363EE6" w:rsidRPr="00BF5054" w:rsidRDefault="00363EE6" w:rsidP="00517F41">
      <w:pPr>
        <w:rPr>
          <w:rFonts w:eastAsia="Aptos"/>
          <w:kern w:val="2"/>
          <w:sz w:val="24"/>
          <w:szCs w:val="24"/>
          <w14:ligatures w14:val="standardContextual"/>
        </w:rPr>
      </w:pPr>
    </w:p>
    <w:sectPr w:rsidR="00363EE6" w:rsidRPr="00BF505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CDA869" w14:textId="77777777" w:rsidR="00CE1EDE" w:rsidRDefault="00CE1EDE">
      <w:r>
        <w:separator/>
      </w:r>
    </w:p>
  </w:endnote>
  <w:endnote w:type="continuationSeparator" w:id="0">
    <w:p w14:paraId="662D04ED" w14:textId="77777777" w:rsidR="00CE1EDE" w:rsidRDefault="00CE1EDE">
      <w:r>
        <w:continuationSeparator/>
      </w:r>
    </w:p>
  </w:endnote>
  <w:endnote w:type="continuationNotice" w:id="1">
    <w:p w14:paraId="1D29FB5A" w14:textId="77777777" w:rsidR="00CE1EDE" w:rsidRDefault="00CE1E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chocib Script Latin Pro">
    <w:charset w:val="00"/>
    <w:family w:val="auto"/>
    <w:pitch w:val="variable"/>
    <w:sig w:usb0="A00000AF" w:usb1="5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2EC79" w14:textId="77777777" w:rsidR="00893E11" w:rsidRDefault="00893E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900CA" w14:textId="20D5A4B7" w:rsidR="00363EE6" w:rsidRDefault="002F751F">
    <w:pPr>
      <w:pBdr>
        <w:top w:val="single" w:sz="24" w:space="1" w:color="622423"/>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color w:val="000000"/>
      </w:rPr>
      <w:t xml:space="preserve">PLANNING BOARD MEETING </w:t>
    </w:r>
    <w:r w:rsidR="005B58FD">
      <w:rPr>
        <w:rFonts w:ascii="Cambria" w:eastAsia="Cambria" w:hAnsi="Cambria" w:cs="Cambria"/>
        <w:color w:val="000000"/>
      </w:rPr>
      <w:t>December 17</w:t>
    </w:r>
    <w:r w:rsidR="00502FBC">
      <w:rPr>
        <w:rFonts w:ascii="Cambria" w:eastAsia="Cambria" w:hAnsi="Cambria" w:cs="Cambria"/>
        <w:color w:val="000000"/>
      </w:rPr>
      <w:t>, 2024</w:t>
    </w:r>
  </w:p>
  <w:p w14:paraId="271013AF" w14:textId="77777777" w:rsidR="00363EE6" w:rsidRDefault="00363EE6">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BA761" w14:textId="77777777" w:rsidR="00893E11" w:rsidRDefault="00893E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2AD90" w14:textId="77777777" w:rsidR="00CE1EDE" w:rsidRDefault="00CE1EDE">
      <w:r>
        <w:separator/>
      </w:r>
    </w:p>
  </w:footnote>
  <w:footnote w:type="continuationSeparator" w:id="0">
    <w:p w14:paraId="2AFCD36C" w14:textId="77777777" w:rsidR="00CE1EDE" w:rsidRDefault="00CE1EDE">
      <w:r>
        <w:continuationSeparator/>
      </w:r>
    </w:p>
  </w:footnote>
  <w:footnote w:type="continuationNotice" w:id="1">
    <w:p w14:paraId="1896C1F3" w14:textId="77777777" w:rsidR="00CE1EDE" w:rsidRDefault="00CE1ED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B3AF7" w14:textId="77777777" w:rsidR="00893E11" w:rsidRDefault="00893E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88DFD" w14:textId="77777777" w:rsidR="00893E11" w:rsidRDefault="00893E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13D27" w14:textId="77777777" w:rsidR="00893E11" w:rsidRDefault="00893E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46FCD"/>
    <w:multiLevelType w:val="hybridMultilevel"/>
    <w:tmpl w:val="D66ED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543E60"/>
    <w:multiLevelType w:val="hybridMultilevel"/>
    <w:tmpl w:val="4900E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B30C09"/>
    <w:multiLevelType w:val="hybridMultilevel"/>
    <w:tmpl w:val="D994B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C779B4"/>
    <w:multiLevelType w:val="hybridMultilevel"/>
    <w:tmpl w:val="A98C1172"/>
    <w:lvl w:ilvl="0" w:tplc="9D86BE78">
      <w:numFmt w:val="bullet"/>
      <w:lvlText w:val=""/>
      <w:lvlJc w:val="left"/>
      <w:pPr>
        <w:ind w:left="720" w:hanging="360"/>
      </w:pPr>
      <w:rPr>
        <w:rFonts w:ascii="Symbol" w:eastAsia="Apto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627399">
    <w:abstractNumId w:val="3"/>
  </w:num>
  <w:num w:numId="2" w16cid:durableId="378942261">
    <w:abstractNumId w:val="2"/>
  </w:num>
  <w:num w:numId="3" w16cid:durableId="894973662">
    <w:abstractNumId w:val="0"/>
  </w:num>
  <w:num w:numId="4" w16cid:durableId="916138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EE6"/>
    <w:rsid w:val="00004679"/>
    <w:rsid w:val="000109FA"/>
    <w:rsid w:val="00017338"/>
    <w:rsid w:val="000274B2"/>
    <w:rsid w:val="00030735"/>
    <w:rsid w:val="00030CCB"/>
    <w:rsid w:val="00036D85"/>
    <w:rsid w:val="00037500"/>
    <w:rsid w:val="00050410"/>
    <w:rsid w:val="00052982"/>
    <w:rsid w:val="00066FAA"/>
    <w:rsid w:val="00070C5C"/>
    <w:rsid w:val="0007325A"/>
    <w:rsid w:val="00077689"/>
    <w:rsid w:val="000812A2"/>
    <w:rsid w:val="00082EB1"/>
    <w:rsid w:val="000840C0"/>
    <w:rsid w:val="00086839"/>
    <w:rsid w:val="00091AF0"/>
    <w:rsid w:val="000A6372"/>
    <w:rsid w:val="000B03F3"/>
    <w:rsid w:val="000B2ABF"/>
    <w:rsid w:val="000B56DB"/>
    <w:rsid w:val="000B68AB"/>
    <w:rsid w:val="000C5061"/>
    <w:rsid w:val="000C5221"/>
    <w:rsid w:val="000E5C5E"/>
    <w:rsid w:val="000F0235"/>
    <w:rsid w:val="000F3F5D"/>
    <w:rsid w:val="000F5275"/>
    <w:rsid w:val="000F558F"/>
    <w:rsid w:val="00102729"/>
    <w:rsid w:val="00103A8D"/>
    <w:rsid w:val="001178E9"/>
    <w:rsid w:val="001206D9"/>
    <w:rsid w:val="00130563"/>
    <w:rsid w:val="00132D94"/>
    <w:rsid w:val="001369EC"/>
    <w:rsid w:val="001423EB"/>
    <w:rsid w:val="001435E6"/>
    <w:rsid w:val="0014482A"/>
    <w:rsid w:val="001469C0"/>
    <w:rsid w:val="001528F1"/>
    <w:rsid w:val="00172DB3"/>
    <w:rsid w:val="001735A6"/>
    <w:rsid w:val="001752D8"/>
    <w:rsid w:val="001831E0"/>
    <w:rsid w:val="00192553"/>
    <w:rsid w:val="001937EF"/>
    <w:rsid w:val="001A19CE"/>
    <w:rsid w:val="001A3F49"/>
    <w:rsid w:val="001A555F"/>
    <w:rsid w:val="001A6C87"/>
    <w:rsid w:val="001B2C98"/>
    <w:rsid w:val="001B3C3F"/>
    <w:rsid w:val="001B5A07"/>
    <w:rsid w:val="001B63D4"/>
    <w:rsid w:val="001B7EA2"/>
    <w:rsid w:val="001C1FF1"/>
    <w:rsid w:val="001C2C6C"/>
    <w:rsid w:val="001D6049"/>
    <w:rsid w:val="001E5572"/>
    <w:rsid w:val="0020173D"/>
    <w:rsid w:val="002114FE"/>
    <w:rsid w:val="00221530"/>
    <w:rsid w:val="002248B4"/>
    <w:rsid w:val="00227887"/>
    <w:rsid w:val="002339DA"/>
    <w:rsid w:val="00234586"/>
    <w:rsid w:val="00240EA6"/>
    <w:rsid w:val="0024279D"/>
    <w:rsid w:val="00263CEA"/>
    <w:rsid w:val="00264691"/>
    <w:rsid w:val="00271E85"/>
    <w:rsid w:val="00274FE8"/>
    <w:rsid w:val="00277AC0"/>
    <w:rsid w:val="00280A61"/>
    <w:rsid w:val="002923D6"/>
    <w:rsid w:val="00293F9F"/>
    <w:rsid w:val="002A2639"/>
    <w:rsid w:val="002B2DE3"/>
    <w:rsid w:val="002C50CB"/>
    <w:rsid w:val="002F29BA"/>
    <w:rsid w:val="002F2C31"/>
    <w:rsid w:val="002F6E6C"/>
    <w:rsid w:val="002F751F"/>
    <w:rsid w:val="002F76FA"/>
    <w:rsid w:val="003048C4"/>
    <w:rsid w:val="00317EDF"/>
    <w:rsid w:val="0032078F"/>
    <w:rsid w:val="0032395C"/>
    <w:rsid w:val="003246AC"/>
    <w:rsid w:val="00333C73"/>
    <w:rsid w:val="00344009"/>
    <w:rsid w:val="00344692"/>
    <w:rsid w:val="00344BF4"/>
    <w:rsid w:val="00347DB8"/>
    <w:rsid w:val="00356184"/>
    <w:rsid w:val="0035735B"/>
    <w:rsid w:val="00363EE6"/>
    <w:rsid w:val="00370593"/>
    <w:rsid w:val="00377FF4"/>
    <w:rsid w:val="00390DC3"/>
    <w:rsid w:val="00390E91"/>
    <w:rsid w:val="00391CBB"/>
    <w:rsid w:val="003A5795"/>
    <w:rsid w:val="003B6E44"/>
    <w:rsid w:val="003E1CA9"/>
    <w:rsid w:val="003F0622"/>
    <w:rsid w:val="003F6E5F"/>
    <w:rsid w:val="0040429F"/>
    <w:rsid w:val="004107A1"/>
    <w:rsid w:val="004244A7"/>
    <w:rsid w:val="00425D12"/>
    <w:rsid w:val="00440D81"/>
    <w:rsid w:val="00445324"/>
    <w:rsid w:val="00447D88"/>
    <w:rsid w:val="004573EC"/>
    <w:rsid w:val="0046332E"/>
    <w:rsid w:val="004679F3"/>
    <w:rsid w:val="00470532"/>
    <w:rsid w:val="00474E01"/>
    <w:rsid w:val="00482ACE"/>
    <w:rsid w:val="00492914"/>
    <w:rsid w:val="00493AB9"/>
    <w:rsid w:val="004A291A"/>
    <w:rsid w:val="004A2E0A"/>
    <w:rsid w:val="004A35E9"/>
    <w:rsid w:val="004A6AA5"/>
    <w:rsid w:val="004B14BE"/>
    <w:rsid w:val="004E5405"/>
    <w:rsid w:val="00502B3C"/>
    <w:rsid w:val="00502FBC"/>
    <w:rsid w:val="00517F41"/>
    <w:rsid w:val="005243E3"/>
    <w:rsid w:val="00554F70"/>
    <w:rsid w:val="00555251"/>
    <w:rsid w:val="00560AE1"/>
    <w:rsid w:val="00566BF8"/>
    <w:rsid w:val="00567F64"/>
    <w:rsid w:val="00582C23"/>
    <w:rsid w:val="005A0814"/>
    <w:rsid w:val="005A142F"/>
    <w:rsid w:val="005B3580"/>
    <w:rsid w:val="005B58FD"/>
    <w:rsid w:val="005C6280"/>
    <w:rsid w:val="005C6C19"/>
    <w:rsid w:val="005D0F93"/>
    <w:rsid w:val="005D218E"/>
    <w:rsid w:val="005D6576"/>
    <w:rsid w:val="005E277E"/>
    <w:rsid w:val="00603E43"/>
    <w:rsid w:val="00607EC3"/>
    <w:rsid w:val="006126AE"/>
    <w:rsid w:val="00617FA6"/>
    <w:rsid w:val="006246A9"/>
    <w:rsid w:val="00641D91"/>
    <w:rsid w:val="006537E8"/>
    <w:rsid w:val="00656881"/>
    <w:rsid w:val="00671F7A"/>
    <w:rsid w:val="006916ED"/>
    <w:rsid w:val="006A00B2"/>
    <w:rsid w:val="006A590B"/>
    <w:rsid w:val="006C2DFF"/>
    <w:rsid w:val="006C3120"/>
    <w:rsid w:val="006C7A22"/>
    <w:rsid w:val="006D6785"/>
    <w:rsid w:val="006E3066"/>
    <w:rsid w:val="0071204F"/>
    <w:rsid w:val="0072579E"/>
    <w:rsid w:val="0073030D"/>
    <w:rsid w:val="007401F9"/>
    <w:rsid w:val="007462F3"/>
    <w:rsid w:val="00750ABB"/>
    <w:rsid w:val="00763A54"/>
    <w:rsid w:val="0076695C"/>
    <w:rsid w:val="00771D76"/>
    <w:rsid w:val="0078288A"/>
    <w:rsid w:val="00784BAC"/>
    <w:rsid w:val="00790714"/>
    <w:rsid w:val="007B2ADB"/>
    <w:rsid w:val="007B500B"/>
    <w:rsid w:val="007C0107"/>
    <w:rsid w:val="007C2091"/>
    <w:rsid w:val="007C438B"/>
    <w:rsid w:val="007D323A"/>
    <w:rsid w:val="007D3E46"/>
    <w:rsid w:val="007D4BF7"/>
    <w:rsid w:val="007E7D04"/>
    <w:rsid w:val="007F56C3"/>
    <w:rsid w:val="0080367D"/>
    <w:rsid w:val="00814E4F"/>
    <w:rsid w:val="008223A9"/>
    <w:rsid w:val="00836411"/>
    <w:rsid w:val="0084106C"/>
    <w:rsid w:val="00863BFB"/>
    <w:rsid w:val="00863C7D"/>
    <w:rsid w:val="0086510C"/>
    <w:rsid w:val="00892576"/>
    <w:rsid w:val="00893E11"/>
    <w:rsid w:val="0089601A"/>
    <w:rsid w:val="00897FC6"/>
    <w:rsid w:val="008B38E7"/>
    <w:rsid w:val="008D0D6B"/>
    <w:rsid w:val="008D6488"/>
    <w:rsid w:val="008D7519"/>
    <w:rsid w:val="008E7B48"/>
    <w:rsid w:val="008F012D"/>
    <w:rsid w:val="00900EDC"/>
    <w:rsid w:val="00903DC0"/>
    <w:rsid w:val="00907553"/>
    <w:rsid w:val="0091020C"/>
    <w:rsid w:val="00915C57"/>
    <w:rsid w:val="00922B0C"/>
    <w:rsid w:val="009318AB"/>
    <w:rsid w:val="00934103"/>
    <w:rsid w:val="009366A2"/>
    <w:rsid w:val="00943BAE"/>
    <w:rsid w:val="00952FE6"/>
    <w:rsid w:val="00956F9A"/>
    <w:rsid w:val="009638BB"/>
    <w:rsid w:val="00965BE8"/>
    <w:rsid w:val="00981888"/>
    <w:rsid w:val="00983934"/>
    <w:rsid w:val="0098429C"/>
    <w:rsid w:val="00986A47"/>
    <w:rsid w:val="009A1AC5"/>
    <w:rsid w:val="009A4BCF"/>
    <w:rsid w:val="009B1665"/>
    <w:rsid w:val="009B6207"/>
    <w:rsid w:val="009D7BAA"/>
    <w:rsid w:val="009E38D8"/>
    <w:rsid w:val="009F26E4"/>
    <w:rsid w:val="009F522C"/>
    <w:rsid w:val="00A02E20"/>
    <w:rsid w:val="00A049DE"/>
    <w:rsid w:val="00A126DB"/>
    <w:rsid w:val="00A14B7E"/>
    <w:rsid w:val="00A41CB4"/>
    <w:rsid w:val="00A6487B"/>
    <w:rsid w:val="00A75BF9"/>
    <w:rsid w:val="00A87878"/>
    <w:rsid w:val="00A9490C"/>
    <w:rsid w:val="00A96BC4"/>
    <w:rsid w:val="00A977CD"/>
    <w:rsid w:val="00AA6690"/>
    <w:rsid w:val="00AB47F7"/>
    <w:rsid w:val="00AB786B"/>
    <w:rsid w:val="00AC126D"/>
    <w:rsid w:val="00AC13EF"/>
    <w:rsid w:val="00AC22EB"/>
    <w:rsid w:val="00AC3726"/>
    <w:rsid w:val="00AD7FAD"/>
    <w:rsid w:val="00AE3A2E"/>
    <w:rsid w:val="00B03789"/>
    <w:rsid w:val="00B05CF5"/>
    <w:rsid w:val="00B10CAD"/>
    <w:rsid w:val="00B16269"/>
    <w:rsid w:val="00B233CC"/>
    <w:rsid w:val="00B25B46"/>
    <w:rsid w:val="00B3396A"/>
    <w:rsid w:val="00B35691"/>
    <w:rsid w:val="00B3665A"/>
    <w:rsid w:val="00B41EE1"/>
    <w:rsid w:val="00B41FB7"/>
    <w:rsid w:val="00B45174"/>
    <w:rsid w:val="00B4594A"/>
    <w:rsid w:val="00B71B6D"/>
    <w:rsid w:val="00B73AFA"/>
    <w:rsid w:val="00B950DD"/>
    <w:rsid w:val="00BA039F"/>
    <w:rsid w:val="00BD0AF1"/>
    <w:rsid w:val="00BF3FB7"/>
    <w:rsid w:val="00BF5054"/>
    <w:rsid w:val="00C012F6"/>
    <w:rsid w:val="00C041D4"/>
    <w:rsid w:val="00C05CF3"/>
    <w:rsid w:val="00C12EE1"/>
    <w:rsid w:val="00C14885"/>
    <w:rsid w:val="00C16B18"/>
    <w:rsid w:val="00C25471"/>
    <w:rsid w:val="00C274D0"/>
    <w:rsid w:val="00C40012"/>
    <w:rsid w:val="00C42F64"/>
    <w:rsid w:val="00C516EA"/>
    <w:rsid w:val="00C547F0"/>
    <w:rsid w:val="00C57905"/>
    <w:rsid w:val="00C63315"/>
    <w:rsid w:val="00C733C0"/>
    <w:rsid w:val="00C96850"/>
    <w:rsid w:val="00C97B49"/>
    <w:rsid w:val="00CA70B4"/>
    <w:rsid w:val="00CA7140"/>
    <w:rsid w:val="00CB2080"/>
    <w:rsid w:val="00CB3327"/>
    <w:rsid w:val="00CB6F84"/>
    <w:rsid w:val="00CC0426"/>
    <w:rsid w:val="00CE1EDE"/>
    <w:rsid w:val="00CE454D"/>
    <w:rsid w:val="00D04A00"/>
    <w:rsid w:val="00D114F4"/>
    <w:rsid w:val="00D25CF1"/>
    <w:rsid w:val="00D25D0D"/>
    <w:rsid w:val="00D3489C"/>
    <w:rsid w:val="00D4392F"/>
    <w:rsid w:val="00D55111"/>
    <w:rsid w:val="00D71075"/>
    <w:rsid w:val="00D72BFE"/>
    <w:rsid w:val="00D76FA3"/>
    <w:rsid w:val="00D80E69"/>
    <w:rsid w:val="00D825E0"/>
    <w:rsid w:val="00D90D02"/>
    <w:rsid w:val="00D97524"/>
    <w:rsid w:val="00DA2666"/>
    <w:rsid w:val="00DA649C"/>
    <w:rsid w:val="00DB0D48"/>
    <w:rsid w:val="00DB27CB"/>
    <w:rsid w:val="00DB2D61"/>
    <w:rsid w:val="00DB53F0"/>
    <w:rsid w:val="00DB64F4"/>
    <w:rsid w:val="00DC22D9"/>
    <w:rsid w:val="00DC4AAA"/>
    <w:rsid w:val="00DC67CE"/>
    <w:rsid w:val="00DD4230"/>
    <w:rsid w:val="00DD583D"/>
    <w:rsid w:val="00DE1BD9"/>
    <w:rsid w:val="00DF011F"/>
    <w:rsid w:val="00DF1221"/>
    <w:rsid w:val="00DF143B"/>
    <w:rsid w:val="00DF2DA0"/>
    <w:rsid w:val="00DF3AB3"/>
    <w:rsid w:val="00E103CD"/>
    <w:rsid w:val="00E14EF2"/>
    <w:rsid w:val="00E237BC"/>
    <w:rsid w:val="00E27BC0"/>
    <w:rsid w:val="00E337A1"/>
    <w:rsid w:val="00E367F5"/>
    <w:rsid w:val="00E4581E"/>
    <w:rsid w:val="00E46E91"/>
    <w:rsid w:val="00E50329"/>
    <w:rsid w:val="00E53112"/>
    <w:rsid w:val="00E53B29"/>
    <w:rsid w:val="00E7461D"/>
    <w:rsid w:val="00E85157"/>
    <w:rsid w:val="00E865F0"/>
    <w:rsid w:val="00EA5093"/>
    <w:rsid w:val="00EB5B55"/>
    <w:rsid w:val="00EC23EF"/>
    <w:rsid w:val="00ED416B"/>
    <w:rsid w:val="00ED7E70"/>
    <w:rsid w:val="00EE4C0C"/>
    <w:rsid w:val="00EF61E1"/>
    <w:rsid w:val="00F01568"/>
    <w:rsid w:val="00F0341D"/>
    <w:rsid w:val="00F06733"/>
    <w:rsid w:val="00F10642"/>
    <w:rsid w:val="00F11645"/>
    <w:rsid w:val="00F36D43"/>
    <w:rsid w:val="00F4426A"/>
    <w:rsid w:val="00F5692A"/>
    <w:rsid w:val="00F75133"/>
    <w:rsid w:val="00F7734C"/>
    <w:rsid w:val="00F811C3"/>
    <w:rsid w:val="00F92552"/>
    <w:rsid w:val="00FA1477"/>
    <w:rsid w:val="00FA247A"/>
    <w:rsid w:val="00FB184B"/>
    <w:rsid w:val="00FB7CA9"/>
    <w:rsid w:val="00FB7EB9"/>
    <w:rsid w:val="00FC2290"/>
    <w:rsid w:val="00FC3C78"/>
    <w:rsid w:val="00FC6543"/>
    <w:rsid w:val="00FC7307"/>
    <w:rsid w:val="00FD2DBB"/>
    <w:rsid w:val="00FD5B86"/>
    <w:rsid w:val="00FD5D33"/>
    <w:rsid w:val="00FF0C8E"/>
    <w:rsid w:val="00FF1587"/>
    <w:rsid w:val="00FF2A4D"/>
    <w:rsid w:val="00FF3A70"/>
    <w:rsid w:val="00FF4D79"/>
    <w:rsid w:val="00FF5607"/>
    <w:rsid w:val="00FF6B2A"/>
    <w:rsid w:val="00FF7FE5"/>
    <w:rsid w:val="010815DC"/>
    <w:rsid w:val="0D64D779"/>
    <w:rsid w:val="1DDC3AC3"/>
    <w:rsid w:val="20CFE384"/>
    <w:rsid w:val="36891556"/>
    <w:rsid w:val="36D42AB5"/>
    <w:rsid w:val="3CAD3A1D"/>
    <w:rsid w:val="42115030"/>
    <w:rsid w:val="5B3210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2A0CF"/>
  <w15:docId w15:val="{090D06D1-CBCC-44DE-B964-D4ACB1232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E1D"/>
    <w:pPr>
      <w:autoSpaceDE w:val="0"/>
      <w:autoSpaceDN w:val="0"/>
      <w:adjustRightInd w:val="0"/>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E4EC7"/>
  </w:style>
  <w:style w:type="character" w:styleId="Hyperlink">
    <w:name w:val="Hyperlink"/>
    <w:basedOn w:val="DefaultParagraphFont"/>
    <w:uiPriority w:val="99"/>
    <w:unhideWhenUsed/>
    <w:rsid w:val="000A57B0"/>
    <w:rPr>
      <w:color w:val="0000FF" w:themeColor="hyperlink"/>
      <w:u w:val="single"/>
    </w:rPr>
  </w:style>
  <w:style w:type="paragraph" w:styleId="Header">
    <w:name w:val="header"/>
    <w:basedOn w:val="Normal"/>
    <w:link w:val="HeaderChar"/>
    <w:uiPriority w:val="99"/>
    <w:unhideWhenUsed/>
    <w:rsid w:val="00283625"/>
    <w:pPr>
      <w:tabs>
        <w:tab w:val="center" w:pos="4680"/>
        <w:tab w:val="right" w:pos="9360"/>
      </w:tabs>
    </w:pPr>
  </w:style>
  <w:style w:type="character" w:customStyle="1" w:styleId="HeaderChar">
    <w:name w:val="Header Char"/>
    <w:basedOn w:val="DefaultParagraphFont"/>
    <w:link w:val="Header"/>
    <w:uiPriority w:val="99"/>
    <w:rsid w:val="0028362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283625"/>
    <w:pPr>
      <w:tabs>
        <w:tab w:val="center" w:pos="4680"/>
        <w:tab w:val="right" w:pos="9360"/>
      </w:tabs>
    </w:pPr>
  </w:style>
  <w:style w:type="character" w:customStyle="1" w:styleId="FooterChar">
    <w:name w:val="Footer Char"/>
    <w:basedOn w:val="DefaultParagraphFont"/>
    <w:link w:val="Footer"/>
    <w:uiPriority w:val="99"/>
    <w:rsid w:val="0028362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83625"/>
    <w:rPr>
      <w:rFonts w:ascii="Tahoma" w:hAnsi="Tahoma" w:cs="Tahoma"/>
      <w:sz w:val="16"/>
      <w:szCs w:val="16"/>
    </w:rPr>
  </w:style>
  <w:style w:type="character" w:customStyle="1" w:styleId="BalloonTextChar">
    <w:name w:val="Balloon Text Char"/>
    <w:basedOn w:val="DefaultParagraphFont"/>
    <w:link w:val="BalloonText"/>
    <w:uiPriority w:val="99"/>
    <w:semiHidden/>
    <w:rsid w:val="00283625"/>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3D7C87"/>
    <w:pPr>
      <w:widowControl/>
      <w:autoSpaceDE/>
      <w:autoSpaceDN/>
      <w:adjustRightInd/>
      <w:jc w:val="center"/>
    </w:pPr>
    <w:rPr>
      <w:rFonts w:ascii="Calibri" w:eastAsia="Calibri" w:hAnsi="Calibri"/>
    </w:rPr>
  </w:style>
  <w:style w:type="character" w:customStyle="1" w:styleId="FootnoteTextChar">
    <w:name w:val="Footnote Text Char"/>
    <w:basedOn w:val="DefaultParagraphFont"/>
    <w:link w:val="FootnoteText"/>
    <w:uiPriority w:val="99"/>
    <w:semiHidden/>
    <w:rsid w:val="003D7C87"/>
    <w:rPr>
      <w:rFonts w:ascii="Calibri" w:eastAsia="Calibri" w:hAnsi="Calibri" w:cs="Times New Roman"/>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679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03959">
      <w:bodyDiv w:val="1"/>
      <w:marLeft w:val="0"/>
      <w:marRight w:val="0"/>
      <w:marTop w:val="0"/>
      <w:marBottom w:val="0"/>
      <w:divBdr>
        <w:top w:val="none" w:sz="0" w:space="0" w:color="auto"/>
        <w:left w:val="none" w:sz="0" w:space="0" w:color="auto"/>
        <w:bottom w:val="none" w:sz="0" w:space="0" w:color="auto"/>
        <w:right w:val="none" w:sz="0" w:space="0" w:color="auto"/>
      </w:divBdr>
    </w:div>
    <w:div w:id="260188228">
      <w:bodyDiv w:val="1"/>
      <w:marLeft w:val="0"/>
      <w:marRight w:val="0"/>
      <w:marTop w:val="0"/>
      <w:marBottom w:val="0"/>
      <w:divBdr>
        <w:top w:val="none" w:sz="0" w:space="0" w:color="auto"/>
        <w:left w:val="none" w:sz="0" w:space="0" w:color="auto"/>
        <w:bottom w:val="none" w:sz="0" w:space="0" w:color="auto"/>
        <w:right w:val="none" w:sz="0" w:space="0" w:color="auto"/>
      </w:divBdr>
    </w:div>
    <w:div w:id="2001695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PS0hUYK0soG54qLDEHO/l/a1qA==">CgMxLjA4AHIhMXNJbi1DTHByS21YUGJRaE5ZYnpfU0x3dlZpWXQzUVpK</go:docsCustomData>
</go:gDocsCustomXmlDataStorage>
</file>

<file path=customXml/itemProps1.xml><?xml version="1.0" encoding="utf-8"?>
<ds:datastoreItem xmlns:ds="http://schemas.openxmlformats.org/officeDocument/2006/customXml" ds:itemID="{17403572-841C-4BF9-AE74-D76B7C2D96D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3121</Words>
  <Characters>17794</Characters>
  <Application>Microsoft Office Word</Application>
  <DocSecurity>4</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Jody DePaulis</cp:lastModifiedBy>
  <cp:revision>2</cp:revision>
  <cp:lastPrinted>2024-04-23T14:11:00Z</cp:lastPrinted>
  <dcterms:created xsi:type="dcterms:W3CDTF">2025-01-29T20:17:00Z</dcterms:created>
  <dcterms:modified xsi:type="dcterms:W3CDTF">2025-01-29T20:17:00Z</dcterms:modified>
</cp:coreProperties>
</file>